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80" w:type="dxa"/>
        <w:tblInd w:w="93" w:type="dxa"/>
        <w:tblLook w:val="04A0" w:firstRow="1" w:lastRow="0" w:firstColumn="1" w:lastColumn="0" w:noHBand="0" w:noVBand="1"/>
      </w:tblPr>
      <w:tblGrid>
        <w:gridCol w:w="1040"/>
        <w:gridCol w:w="3320"/>
        <w:gridCol w:w="2480"/>
        <w:gridCol w:w="680"/>
        <w:gridCol w:w="1080"/>
        <w:gridCol w:w="6680"/>
      </w:tblGrid>
      <w:tr w:rsidR="001D0FBF" w:rsidRPr="001D0FBF" w:rsidTr="001D0FBF">
        <w:trPr>
          <w:trHeight w:val="1140"/>
        </w:trPr>
        <w:tc>
          <w:tcPr>
            <w:tcW w:w="15280" w:type="dxa"/>
            <w:gridSpan w:val="6"/>
            <w:tcBorders>
              <w:top w:val="nil"/>
              <w:left w:val="nil"/>
              <w:bottom w:val="nil"/>
              <w:right w:val="nil"/>
            </w:tcBorders>
            <w:shd w:val="clear" w:color="auto" w:fill="auto"/>
            <w:vAlign w:val="center"/>
            <w:hideMark/>
          </w:tcPr>
          <w:p w:rsidR="001D0FBF" w:rsidRPr="001D0FBF" w:rsidRDefault="001D0FBF" w:rsidP="00AA1694">
            <w:pPr>
              <w:widowControl/>
              <w:jc w:val="center"/>
              <w:rPr>
                <w:rFonts w:ascii="楷体" w:eastAsia="楷体" w:hAnsi="楷体" w:cs="宋体"/>
                <w:b/>
                <w:bCs/>
                <w:color w:val="000000"/>
                <w:kern w:val="0"/>
                <w:sz w:val="40"/>
                <w:szCs w:val="40"/>
              </w:rPr>
            </w:pPr>
            <w:bookmarkStart w:id="0" w:name="RANGE!A1:F22"/>
            <w:r w:rsidRPr="001D0FBF">
              <w:rPr>
                <w:rFonts w:ascii="楷体" w:eastAsia="楷体" w:hAnsi="楷体" w:cs="宋体" w:hint="eastAsia"/>
                <w:b/>
                <w:bCs/>
                <w:color w:val="000000"/>
                <w:kern w:val="0"/>
                <w:sz w:val="40"/>
                <w:szCs w:val="40"/>
              </w:rPr>
              <w:t>上海电力学院</w:t>
            </w:r>
            <w:r w:rsidRPr="001D0FBF">
              <w:rPr>
                <w:rFonts w:ascii="楷体" w:eastAsia="楷体" w:hAnsi="楷体" w:cs="宋体" w:hint="eastAsia"/>
                <w:b/>
                <w:bCs/>
                <w:color w:val="000000"/>
                <w:kern w:val="0"/>
                <w:sz w:val="40"/>
                <w:szCs w:val="40"/>
              </w:rPr>
              <w:br/>
              <w:t>杨浦南校区三好堂二层厨房洗碗间设备采购需求</w:t>
            </w:r>
            <w:bookmarkEnd w:id="0"/>
            <w:r w:rsidR="00AA1694">
              <w:rPr>
                <w:rFonts w:ascii="楷体" w:eastAsia="楷体" w:hAnsi="楷体" w:cs="宋体" w:hint="eastAsia"/>
                <w:b/>
                <w:bCs/>
                <w:color w:val="000000"/>
                <w:kern w:val="0"/>
                <w:sz w:val="40"/>
                <w:szCs w:val="40"/>
              </w:rPr>
              <w:t>表</w:t>
            </w:r>
            <w:bookmarkStart w:id="1" w:name="_GoBack"/>
            <w:bookmarkEnd w:id="1"/>
          </w:p>
        </w:tc>
      </w:tr>
      <w:tr w:rsidR="001D0FBF" w:rsidRPr="001D0FBF" w:rsidTr="001D0FBF">
        <w:trPr>
          <w:trHeight w:val="36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设备编号</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设备名称</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尺寸（MM）</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单位</w:t>
            </w:r>
          </w:p>
        </w:tc>
        <w:tc>
          <w:tcPr>
            <w:tcW w:w="6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技术参数</w:t>
            </w:r>
          </w:p>
        </w:tc>
      </w:tr>
      <w:tr w:rsidR="001D0FBF" w:rsidRPr="001D0FBF" w:rsidTr="001D0FBF">
        <w:trPr>
          <w:trHeight w:val="36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1D0FBF" w:rsidRPr="001D0FBF" w:rsidRDefault="001D0FBF" w:rsidP="001D0FBF">
            <w:pPr>
              <w:widowControl/>
              <w:jc w:val="left"/>
              <w:rPr>
                <w:rFonts w:ascii="楷体" w:eastAsia="楷体" w:hAnsi="楷体" w:cs="宋体"/>
                <w:b/>
                <w:bCs/>
                <w:color w:val="000000"/>
                <w:kern w:val="0"/>
                <w:sz w:val="24"/>
                <w:szCs w:val="24"/>
              </w:rPr>
            </w:pPr>
          </w:p>
        </w:tc>
      </w:tr>
      <w:tr w:rsidR="001D0FBF" w:rsidRPr="001D0FBF" w:rsidTr="001D0FBF">
        <w:trPr>
          <w:trHeight w:val="360"/>
        </w:trPr>
        <w:tc>
          <w:tcPr>
            <w:tcW w:w="152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一、二层厨房洗碗间设备</w:t>
            </w:r>
          </w:p>
        </w:tc>
      </w:tr>
      <w:tr w:rsidR="001D0FBF" w:rsidRPr="001D0FBF" w:rsidTr="001D0FBF">
        <w:trPr>
          <w:trHeight w:val="36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洗碗间</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 xml:space="preserve">　</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 xml:space="preserve">　</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 xml:space="preserve">　</w:t>
            </w:r>
          </w:p>
        </w:tc>
      </w:tr>
      <w:tr w:rsidR="001D0FBF" w:rsidRPr="001D0FBF" w:rsidTr="001D0FBF">
        <w:trPr>
          <w:trHeight w:val="8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2A01</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单孔残菜台</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1500*800*800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台面采用厚1.2mm SUS304HL/PVC不锈钢板；加强筋采用厚1.2 mmSUS304HL/PVC不锈钢板；立柱采用厚38×38×1.2mm SUS304HL/PVC不锈钢圆管；配置不锈钢子弹可调脚</w:t>
            </w:r>
          </w:p>
        </w:tc>
      </w:tr>
      <w:tr w:rsidR="001D0FBF" w:rsidRPr="001D0FBF" w:rsidTr="001D0FBF">
        <w:trPr>
          <w:trHeight w:val="14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2A02</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双星盆台</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1600*800*800/100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星盆规格：650W×550D×350H；台面、水斗采用厚1.5mm SUS304HL/PVC不锈钢板；加强筋采用厚1.2 mmSUS304HL/PVC不锈钢板；柜身采用1.0mm SUS304HL/PVC不锈钢；开门采用厚0.8mm SUS304HL/PVC不锈钢板；配置不锈钢子弹可调脚；水斗下水口采用厚不锈钢3寸有篮落水器</w:t>
            </w:r>
          </w:p>
        </w:tc>
      </w:tr>
      <w:tr w:rsidR="001D0FBF" w:rsidRPr="001D0FBF" w:rsidTr="001D0FBF">
        <w:trPr>
          <w:trHeight w:val="88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2A03</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补台</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350*650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台面采用厚1.2mm SUS304HL/PVC不锈钢板</w:t>
            </w:r>
          </w:p>
        </w:tc>
      </w:tr>
      <w:tr w:rsidR="001D0FBF" w:rsidRPr="001D0FBF" w:rsidTr="001D0FBF">
        <w:trPr>
          <w:trHeight w:val="88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2A04</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花洒龙头</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r>
      <w:tr w:rsidR="001D0FBF" w:rsidRPr="001D0FBF" w:rsidTr="001D0FBF">
        <w:trPr>
          <w:trHeight w:val="169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2A05</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长龙式洗碗机带烘干</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kern w:val="0"/>
                <w:sz w:val="22"/>
              </w:rPr>
            </w:pPr>
            <w:r w:rsidRPr="001D0FBF">
              <w:rPr>
                <w:rFonts w:ascii="楷体" w:eastAsia="楷体" w:hAnsi="楷体" w:cs="宋体" w:hint="eastAsia"/>
                <w:kern w:val="0"/>
                <w:sz w:val="22"/>
              </w:rPr>
              <w:t>4155*980*2040</w:t>
            </w:r>
          </w:p>
        </w:tc>
        <w:tc>
          <w:tcPr>
            <w:tcW w:w="680" w:type="dxa"/>
            <w:tcBorders>
              <w:top w:val="nil"/>
              <w:left w:val="nil"/>
              <w:bottom w:val="nil"/>
              <w:right w:val="nil"/>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kern w:val="0"/>
                <w:sz w:val="22"/>
              </w:rPr>
            </w:pPr>
            <w:r w:rsidRPr="001D0FBF">
              <w:rPr>
                <w:rFonts w:ascii="楷体" w:eastAsia="楷体" w:hAnsi="楷体" w:cs="宋体" w:hint="eastAsia"/>
                <w:kern w:val="0"/>
                <w:sz w:val="22"/>
              </w:rPr>
              <w:t>总功率：380V/67KW;380V/4KW;空气开关额定电流：125A/20A;电源线截面：35MM</w:t>
            </w:r>
            <w:r w:rsidRPr="001D0FBF">
              <w:rPr>
                <w:rFonts w:ascii="宋体" w:eastAsia="宋体" w:hAnsi="宋体" w:cs="宋体" w:hint="eastAsia"/>
                <w:kern w:val="0"/>
                <w:sz w:val="22"/>
              </w:rPr>
              <w:t>²</w:t>
            </w:r>
            <w:r w:rsidRPr="001D0FBF">
              <w:rPr>
                <w:rFonts w:ascii="楷体" w:eastAsia="楷体" w:hAnsi="楷体" w:cs="宋体" w:hint="eastAsia"/>
                <w:kern w:val="0"/>
                <w:sz w:val="22"/>
              </w:rPr>
              <w:t>;进水温度：10-60℃;蒸汽总耗量：-;110KG/H;烘干机功率:13KW;漂洗加热功率：36KW;水槽加热功率：15KW;水泵加传动电机功率：2.8KW;洗涤量：3400-6800 DISH/HOUR;最大耗水量：280L/H;进水管径：3/4 IN;排水管径：2 IN;进水压力：2-5BAR;进水硬度：0.034-0.103G/L</w:t>
            </w:r>
          </w:p>
        </w:tc>
      </w:tr>
      <w:tr w:rsidR="001D0FBF" w:rsidRPr="001D0FBF" w:rsidTr="001D0FBF">
        <w:trPr>
          <w:trHeight w:val="8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lastRenderedPageBreak/>
              <w:t>2A06</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方形集气罩</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1000*2100*400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组</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烟罩主体采用厚1.2mm SUS304HL/PVC不锈钢板；侧板采用厚1.0mm SUS304HL/PVC不锈钢板；配置防水照明灯及不锈钢油烟过滤栅板；不含风机、风管</w:t>
            </w:r>
          </w:p>
        </w:tc>
      </w:tr>
      <w:tr w:rsidR="001D0FBF" w:rsidRPr="001D0FBF" w:rsidTr="001D0FBF">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2A07</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洗碗机后工作台</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1000*800*800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SUS304HL/PVC不锈钢制作</w:t>
            </w:r>
          </w:p>
        </w:tc>
      </w:tr>
      <w:tr w:rsidR="001D0FBF" w:rsidRPr="001D0FBF" w:rsidTr="001D0FBF">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2A08</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双门热风消毒柜</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1310*635*1880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功率：220V/4.6KW</w:t>
            </w:r>
          </w:p>
        </w:tc>
      </w:tr>
      <w:tr w:rsidR="001D0FBF" w:rsidRPr="001D0FBF" w:rsidTr="001D0FBF">
        <w:trPr>
          <w:trHeight w:val="8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2A09</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洗地龙头</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10.5M</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10.5M；采用不锈钢304材料,开方式洗地龙头,配有11米高压软管,进水口采用3/8"NPT内螺纹,管子承受压力是300psi-1000psdi,温度0-100度,配水枪式喷头</w:t>
            </w:r>
          </w:p>
        </w:tc>
      </w:tr>
      <w:tr w:rsidR="001D0FBF" w:rsidRPr="001D0FBF" w:rsidTr="001D0FBF">
        <w:trPr>
          <w:trHeight w:val="313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2A10</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活动式垃圾桶</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φ505*700</w:t>
            </w:r>
          </w:p>
        </w:tc>
        <w:tc>
          <w:tcPr>
            <w:tcW w:w="6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Pr>
                <w:rFonts w:ascii="楷体" w:eastAsia="楷体" w:hAnsi="楷体" w:cs="宋体"/>
                <w:color w:val="000000"/>
                <w:kern w:val="0"/>
                <w:sz w:val="24"/>
                <w:szCs w:val="24"/>
              </w:rPr>
              <w:fldChar w:fldCharType="begin"/>
            </w:r>
            <w:r>
              <w:rPr>
                <w:rFonts w:ascii="楷体" w:eastAsia="楷体" w:hAnsi="楷体" w:cs="宋体"/>
                <w:color w:val="000000"/>
                <w:kern w:val="0"/>
                <w:sz w:val="24"/>
                <w:szCs w:val="24"/>
              </w:rPr>
              <w:instrText xml:space="preserve"> </w:instrText>
            </w:r>
            <w:r>
              <w:rPr>
                <w:rFonts w:ascii="楷体" w:eastAsia="楷体" w:hAnsi="楷体" w:cs="宋体" w:hint="eastAsia"/>
                <w:color w:val="000000"/>
                <w:kern w:val="0"/>
                <w:sz w:val="24"/>
                <w:szCs w:val="24"/>
              </w:rPr>
              <w:instrText>= 1 \* GB2</w:instrText>
            </w:r>
            <w:r>
              <w:rPr>
                <w:rFonts w:ascii="楷体" w:eastAsia="楷体" w:hAnsi="楷体" w:cs="宋体"/>
                <w:color w:val="000000"/>
                <w:kern w:val="0"/>
                <w:sz w:val="24"/>
                <w:szCs w:val="24"/>
              </w:rPr>
              <w:instrText xml:space="preserve"> </w:instrText>
            </w:r>
            <w:r>
              <w:rPr>
                <w:rFonts w:ascii="楷体" w:eastAsia="楷体" w:hAnsi="楷体" w:cs="宋体"/>
                <w:color w:val="000000"/>
                <w:kern w:val="0"/>
                <w:sz w:val="24"/>
                <w:szCs w:val="24"/>
              </w:rPr>
              <w:fldChar w:fldCharType="separate"/>
            </w:r>
            <w:r>
              <w:rPr>
                <w:rFonts w:ascii="楷体" w:eastAsia="楷体" w:hAnsi="楷体" w:cs="宋体" w:hint="eastAsia"/>
                <w:noProof/>
                <w:color w:val="000000"/>
                <w:kern w:val="0"/>
                <w:sz w:val="24"/>
                <w:szCs w:val="24"/>
              </w:rPr>
              <w:t>⑴</w:t>
            </w:r>
            <w:r>
              <w:rPr>
                <w:rFonts w:ascii="楷体" w:eastAsia="楷体" w:hAnsi="楷体" w:cs="宋体"/>
                <w:color w:val="000000"/>
                <w:kern w:val="0"/>
                <w:sz w:val="24"/>
                <w:szCs w:val="24"/>
              </w:rPr>
              <w:fldChar w:fldCharType="end"/>
            </w:r>
            <w:r>
              <w:rPr>
                <w:rFonts w:ascii="楷体" w:eastAsia="楷体" w:hAnsi="楷体" w:cs="宋体" w:hint="eastAsia"/>
                <w:color w:val="000000"/>
                <w:kern w:val="0"/>
                <w:sz w:val="24"/>
                <w:szCs w:val="24"/>
              </w:rPr>
              <w:t xml:space="preserve"> </w:t>
            </w:r>
            <w:r w:rsidRPr="001D0FBF">
              <w:rPr>
                <w:rFonts w:ascii="楷体" w:eastAsia="楷体" w:hAnsi="楷体" w:cs="宋体" w:hint="eastAsia"/>
                <w:color w:val="000000"/>
                <w:kern w:val="0"/>
                <w:sz w:val="24"/>
                <w:szCs w:val="24"/>
              </w:rPr>
              <w:t xml:space="preserve">带有4个通风管道，使桶内的空气得以流通，，空气的流通解决了以往在传统垃圾桶中提取时垃圾袋常见的真空问题。提取垃圾袋时省力高达50%，大大提高了工作效率并有效降低过度用力而受伤的风险； </w:t>
            </w:r>
            <w:r w:rsidRPr="001D0FBF">
              <w:rPr>
                <w:rFonts w:ascii="楷体" w:eastAsia="楷体" w:hAnsi="楷体" w:cs="宋体" w:hint="eastAsia"/>
                <w:color w:val="000000"/>
                <w:kern w:val="0"/>
                <w:sz w:val="24"/>
                <w:szCs w:val="24"/>
              </w:rPr>
              <w:br/>
            </w:r>
            <w:r>
              <w:rPr>
                <w:rFonts w:ascii="楷体" w:eastAsia="楷体" w:hAnsi="楷体" w:cs="宋体"/>
                <w:color w:val="000000"/>
                <w:kern w:val="0"/>
                <w:sz w:val="24"/>
                <w:szCs w:val="24"/>
              </w:rPr>
              <w:fldChar w:fldCharType="begin"/>
            </w:r>
            <w:r>
              <w:rPr>
                <w:rFonts w:ascii="楷体" w:eastAsia="楷体" w:hAnsi="楷体" w:cs="宋体"/>
                <w:color w:val="000000"/>
                <w:kern w:val="0"/>
                <w:sz w:val="24"/>
                <w:szCs w:val="24"/>
              </w:rPr>
              <w:instrText xml:space="preserve"> </w:instrText>
            </w:r>
            <w:r>
              <w:rPr>
                <w:rFonts w:ascii="楷体" w:eastAsia="楷体" w:hAnsi="楷体" w:cs="宋体" w:hint="eastAsia"/>
                <w:color w:val="000000"/>
                <w:kern w:val="0"/>
                <w:sz w:val="24"/>
                <w:szCs w:val="24"/>
              </w:rPr>
              <w:instrText>= 2 \* GB2</w:instrText>
            </w:r>
            <w:r>
              <w:rPr>
                <w:rFonts w:ascii="楷体" w:eastAsia="楷体" w:hAnsi="楷体" w:cs="宋体"/>
                <w:color w:val="000000"/>
                <w:kern w:val="0"/>
                <w:sz w:val="24"/>
                <w:szCs w:val="24"/>
              </w:rPr>
              <w:instrText xml:space="preserve"> </w:instrText>
            </w:r>
            <w:r>
              <w:rPr>
                <w:rFonts w:ascii="楷体" w:eastAsia="楷体" w:hAnsi="楷体" w:cs="宋体"/>
                <w:color w:val="000000"/>
                <w:kern w:val="0"/>
                <w:sz w:val="24"/>
                <w:szCs w:val="24"/>
              </w:rPr>
              <w:fldChar w:fldCharType="separate"/>
            </w:r>
            <w:r>
              <w:rPr>
                <w:rFonts w:ascii="楷体" w:eastAsia="楷体" w:hAnsi="楷体" w:cs="宋体" w:hint="eastAsia"/>
                <w:noProof/>
                <w:color w:val="000000"/>
                <w:kern w:val="0"/>
                <w:sz w:val="24"/>
                <w:szCs w:val="24"/>
              </w:rPr>
              <w:t>⑵</w:t>
            </w:r>
            <w:r>
              <w:rPr>
                <w:rFonts w:ascii="楷体" w:eastAsia="楷体" w:hAnsi="楷体" w:cs="宋体"/>
                <w:color w:val="000000"/>
                <w:kern w:val="0"/>
                <w:sz w:val="24"/>
                <w:szCs w:val="24"/>
              </w:rPr>
              <w:fldChar w:fldCharType="end"/>
            </w:r>
            <w:r>
              <w:rPr>
                <w:rFonts w:ascii="楷体" w:eastAsia="楷体" w:hAnsi="楷体" w:cs="宋体" w:hint="eastAsia"/>
                <w:color w:val="000000"/>
                <w:kern w:val="0"/>
                <w:sz w:val="24"/>
                <w:szCs w:val="24"/>
              </w:rPr>
              <w:t xml:space="preserve"> </w:t>
            </w:r>
            <w:r w:rsidRPr="001D0FBF">
              <w:rPr>
                <w:rFonts w:ascii="楷体" w:eastAsia="楷体" w:hAnsi="楷体" w:cs="宋体" w:hint="eastAsia"/>
                <w:color w:val="000000"/>
                <w:kern w:val="0"/>
                <w:sz w:val="24"/>
                <w:szCs w:val="24"/>
              </w:rPr>
              <w:t>带有垃圾袋固定槽，节约更换垃圾袋时的打结时间；</w:t>
            </w:r>
            <w:r w:rsidRPr="001D0FBF">
              <w:rPr>
                <w:rFonts w:ascii="楷体" w:eastAsia="楷体" w:hAnsi="楷体" w:cs="宋体" w:hint="eastAsia"/>
                <w:color w:val="000000"/>
                <w:kern w:val="0"/>
                <w:sz w:val="24"/>
                <w:szCs w:val="24"/>
              </w:rPr>
              <w:br/>
            </w:r>
            <w:r>
              <w:rPr>
                <w:rFonts w:ascii="楷体" w:eastAsia="楷体" w:hAnsi="楷体" w:cs="宋体"/>
                <w:color w:val="000000"/>
                <w:kern w:val="0"/>
                <w:sz w:val="24"/>
                <w:szCs w:val="24"/>
              </w:rPr>
              <w:fldChar w:fldCharType="begin"/>
            </w:r>
            <w:r>
              <w:rPr>
                <w:rFonts w:ascii="楷体" w:eastAsia="楷体" w:hAnsi="楷体" w:cs="宋体"/>
                <w:color w:val="000000"/>
                <w:kern w:val="0"/>
                <w:sz w:val="24"/>
                <w:szCs w:val="24"/>
              </w:rPr>
              <w:instrText xml:space="preserve"> </w:instrText>
            </w:r>
            <w:r>
              <w:rPr>
                <w:rFonts w:ascii="楷体" w:eastAsia="楷体" w:hAnsi="楷体" w:cs="宋体" w:hint="eastAsia"/>
                <w:color w:val="000000"/>
                <w:kern w:val="0"/>
                <w:sz w:val="24"/>
                <w:szCs w:val="24"/>
              </w:rPr>
              <w:instrText>= 3 \* GB2</w:instrText>
            </w:r>
            <w:r>
              <w:rPr>
                <w:rFonts w:ascii="楷体" w:eastAsia="楷体" w:hAnsi="楷体" w:cs="宋体"/>
                <w:color w:val="000000"/>
                <w:kern w:val="0"/>
                <w:sz w:val="24"/>
                <w:szCs w:val="24"/>
              </w:rPr>
              <w:instrText xml:space="preserve"> </w:instrText>
            </w:r>
            <w:r>
              <w:rPr>
                <w:rFonts w:ascii="楷体" w:eastAsia="楷体" w:hAnsi="楷体" w:cs="宋体"/>
                <w:color w:val="000000"/>
                <w:kern w:val="0"/>
                <w:sz w:val="24"/>
                <w:szCs w:val="24"/>
              </w:rPr>
              <w:fldChar w:fldCharType="separate"/>
            </w:r>
            <w:r>
              <w:rPr>
                <w:rFonts w:ascii="楷体" w:eastAsia="楷体" w:hAnsi="楷体" w:cs="宋体" w:hint="eastAsia"/>
                <w:noProof/>
                <w:color w:val="000000"/>
                <w:kern w:val="0"/>
                <w:sz w:val="24"/>
                <w:szCs w:val="24"/>
              </w:rPr>
              <w:t>⑶</w:t>
            </w:r>
            <w:r>
              <w:rPr>
                <w:rFonts w:ascii="楷体" w:eastAsia="楷体" w:hAnsi="楷体" w:cs="宋体"/>
                <w:color w:val="000000"/>
                <w:kern w:val="0"/>
                <w:sz w:val="24"/>
                <w:szCs w:val="24"/>
              </w:rPr>
              <w:fldChar w:fldCharType="end"/>
            </w:r>
            <w:r>
              <w:rPr>
                <w:rFonts w:ascii="楷体" w:eastAsia="楷体" w:hAnsi="楷体" w:cs="宋体" w:hint="eastAsia"/>
                <w:color w:val="000000"/>
                <w:kern w:val="0"/>
                <w:sz w:val="24"/>
                <w:szCs w:val="24"/>
              </w:rPr>
              <w:t xml:space="preserve"> </w:t>
            </w:r>
            <w:r w:rsidRPr="001D0FBF">
              <w:rPr>
                <w:rFonts w:ascii="楷体" w:eastAsia="楷体" w:hAnsi="楷体" w:cs="宋体" w:hint="eastAsia"/>
                <w:color w:val="000000"/>
                <w:kern w:val="0"/>
                <w:sz w:val="24"/>
                <w:szCs w:val="24"/>
              </w:rPr>
              <w:t>带有“自排水”通道的盖，防止水流聚积，减少积水；咬合锁扣保证保密度密合性；</w:t>
            </w:r>
            <w:r w:rsidRPr="001D0FBF">
              <w:rPr>
                <w:rFonts w:ascii="楷体" w:eastAsia="楷体" w:hAnsi="楷体" w:cs="宋体" w:hint="eastAsia"/>
                <w:color w:val="000000"/>
                <w:kern w:val="0"/>
                <w:sz w:val="24"/>
                <w:szCs w:val="24"/>
              </w:rPr>
              <w:br/>
            </w:r>
            <w:r>
              <w:rPr>
                <w:rFonts w:ascii="楷体" w:eastAsia="楷体" w:hAnsi="楷体" w:cs="宋体"/>
                <w:color w:val="000000"/>
                <w:kern w:val="0"/>
                <w:sz w:val="24"/>
                <w:szCs w:val="24"/>
              </w:rPr>
              <w:fldChar w:fldCharType="begin"/>
            </w:r>
            <w:r>
              <w:rPr>
                <w:rFonts w:ascii="楷体" w:eastAsia="楷体" w:hAnsi="楷体" w:cs="宋体"/>
                <w:color w:val="000000"/>
                <w:kern w:val="0"/>
                <w:sz w:val="24"/>
                <w:szCs w:val="24"/>
              </w:rPr>
              <w:instrText xml:space="preserve"> </w:instrText>
            </w:r>
            <w:r>
              <w:rPr>
                <w:rFonts w:ascii="楷体" w:eastAsia="楷体" w:hAnsi="楷体" w:cs="宋体" w:hint="eastAsia"/>
                <w:color w:val="000000"/>
                <w:kern w:val="0"/>
                <w:sz w:val="24"/>
                <w:szCs w:val="24"/>
              </w:rPr>
              <w:instrText>= 4 \* GB2</w:instrText>
            </w:r>
            <w:r>
              <w:rPr>
                <w:rFonts w:ascii="楷体" w:eastAsia="楷体" w:hAnsi="楷体" w:cs="宋体"/>
                <w:color w:val="000000"/>
                <w:kern w:val="0"/>
                <w:sz w:val="24"/>
                <w:szCs w:val="24"/>
              </w:rPr>
              <w:instrText xml:space="preserve"> </w:instrText>
            </w:r>
            <w:r>
              <w:rPr>
                <w:rFonts w:ascii="楷体" w:eastAsia="楷体" w:hAnsi="楷体" w:cs="宋体"/>
                <w:color w:val="000000"/>
                <w:kern w:val="0"/>
                <w:sz w:val="24"/>
                <w:szCs w:val="24"/>
              </w:rPr>
              <w:fldChar w:fldCharType="separate"/>
            </w:r>
            <w:r>
              <w:rPr>
                <w:rFonts w:ascii="楷体" w:eastAsia="楷体" w:hAnsi="楷体" w:cs="宋体" w:hint="eastAsia"/>
                <w:noProof/>
                <w:color w:val="000000"/>
                <w:kern w:val="0"/>
                <w:sz w:val="24"/>
                <w:szCs w:val="24"/>
              </w:rPr>
              <w:t>⑷</w:t>
            </w:r>
            <w:r>
              <w:rPr>
                <w:rFonts w:ascii="楷体" w:eastAsia="楷体" w:hAnsi="楷体" w:cs="宋体"/>
                <w:color w:val="000000"/>
                <w:kern w:val="0"/>
                <w:sz w:val="24"/>
                <w:szCs w:val="24"/>
              </w:rPr>
              <w:fldChar w:fldCharType="end"/>
            </w:r>
            <w:r>
              <w:rPr>
                <w:rFonts w:ascii="楷体" w:eastAsia="楷体" w:hAnsi="楷体" w:cs="宋体" w:hint="eastAsia"/>
                <w:color w:val="000000"/>
                <w:kern w:val="0"/>
                <w:sz w:val="24"/>
                <w:szCs w:val="24"/>
              </w:rPr>
              <w:t xml:space="preserve"> </w:t>
            </w:r>
            <w:r w:rsidRPr="001D0FBF">
              <w:rPr>
                <w:rFonts w:ascii="楷体" w:eastAsia="楷体" w:hAnsi="楷体" w:cs="宋体" w:hint="eastAsia"/>
                <w:color w:val="000000"/>
                <w:kern w:val="0"/>
                <w:sz w:val="24"/>
                <w:szCs w:val="24"/>
              </w:rPr>
              <w:t>五个坚固脚轮的“小车”，即使在粗糙不平的地面上仍能保持满载的“垃圾桶”平稳行驶，轮子旋转自如操控方便；小车可承重113 Kg；无痕脚轮，有助保护地板，保持公共区域的最佳状态。</w:t>
            </w:r>
          </w:p>
        </w:tc>
      </w:tr>
      <w:tr w:rsidR="001D0FBF" w:rsidRPr="001D0FBF" w:rsidTr="001D0FBF">
        <w:trPr>
          <w:trHeight w:val="57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b/>
                <w:bCs/>
                <w:color w:val="000000"/>
                <w:kern w:val="0"/>
                <w:sz w:val="24"/>
                <w:szCs w:val="24"/>
              </w:rPr>
            </w:pPr>
            <w:r w:rsidRPr="001D0FBF">
              <w:rPr>
                <w:rFonts w:ascii="楷体" w:eastAsia="楷体" w:hAnsi="楷体" w:cs="宋体" w:hint="eastAsia"/>
                <w:b/>
                <w:bCs/>
                <w:color w:val="000000"/>
                <w:kern w:val="0"/>
                <w:sz w:val="24"/>
                <w:szCs w:val="24"/>
              </w:rPr>
              <w:t>餐厅及厨房</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 xml:space="preserve">　</w:t>
            </w:r>
          </w:p>
        </w:tc>
      </w:tr>
      <w:tr w:rsidR="001D0FBF" w:rsidRPr="001D0FBF" w:rsidTr="001D0FBF">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筷子调羹消毒柜</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700*450*800</w:t>
            </w:r>
          </w:p>
        </w:tc>
        <w:tc>
          <w:tcPr>
            <w:tcW w:w="6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辆</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功率：220V/0.1KW;采用 SUS304HL/PVC不锈钢板</w:t>
            </w:r>
          </w:p>
        </w:tc>
      </w:tr>
      <w:tr w:rsidR="001D0FBF" w:rsidRPr="001D0FBF" w:rsidTr="001D0FBF">
        <w:trPr>
          <w:trHeight w:val="5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筷子调羹收残车柜</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800*600*800</w:t>
            </w:r>
          </w:p>
        </w:tc>
        <w:tc>
          <w:tcPr>
            <w:tcW w:w="6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辆</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采用 SUS304HL/PVC不锈钢板；内置2只不锈钢桶（400*300*400）</w:t>
            </w:r>
          </w:p>
        </w:tc>
      </w:tr>
      <w:tr w:rsidR="001D0FBF" w:rsidRPr="001D0FBF" w:rsidTr="001D0FBF">
        <w:trPr>
          <w:trHeight w:val="28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3</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双层收盘车</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900*750*800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辆</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采用 SUS304HL/PVC不锈钢板；内径尺寸：800*650*280</w:t>
            </w:r>
          </w:p>
        </w:tc>
      </w:tr>
      <w:tr w:rsidR="001D0FBF" w:rsidRPr="001D0FBF" w:rsidTr="001D0FBF">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4</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快餐盘密封车</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1350*600*900</w:t>
            </w:r>
          </w:p>
        </w:tc>
        <w:tc>
          <w:tcPr>
            <w:tcW w:w="6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辆</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采用 SUS304HL/PVC不锈钢板</w:t>
            </w:r>
          </w:p>
        </w:tc>
      </w:tr>
      <w:tr w:rsidR="001D0FBF" w:rsidRPr="001D0FBF" w:rsidTr="001D0FBF">
        <w:trPr>
          <w:trHeight w:val="199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lastRenderedPageBreak/>
              <w:t>5</w:t>
            </w:r>
          </w:p>
        </w:tc>
        <w:tc>
          <w:tcPr>
            <w:tcW w:w="332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鼓风双炒双尾撑炉</w:t>
            </w:r>
          </w:p>
        </w:tc>
        <w:tc>
          <w:tcPr>
            <w:tcW w:w="24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2200×1200×800/420</w:t>
            </w:r>
          </w:p>
        </w:tc>
        <w:tc>
          <w:tcPr>
            <w:tcW w:w="6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台面材料用SUS 304 1.5mm不锈钢板，炉围材质为SUS 304 1.5mm不锈钢板，燃具采用静音节能型炉头，配置一键式点火及煤气熄火自动切断保护装置，鼓风机采用中压风机；面板和侧板采用SUS 304 1.2mm不锈钢板，炉围及水撑采用耐火砖隔热，承力架采用国标4#角钢，并加镀防锈漆。台面隔热采用玻璃纤维保温棉(δ=25mm)及台面水喷淋冷却；灶具承力脚采用φ50mm不锈钢可调节脚。</w:t>
            </w:r>
          </w:p>
        </w:tc>
      </w:tr>
      <w:tr w:rsidR="001D0FBF" w:rsidRPr="001D0FBF" w:rsidTr="001D0FBF">
        <w:trPr>
          <w:trHeight w:val="11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6</w:t>
            </w:r>
          </w:p>
        </w:tc>
        <w:tc>
          <w:tcPr>
            <w:tcW w:w="332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燃气式蒸饭箱</w:t>
            </w:r>
          </w:p>
        </w:tc>
        <w:tc>
          <w:tcPr>
            <w:tcW w:w="24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700×920×1700</w:t>
            </w:r>
          </w:p>
        </w:tc>
        <w:tc>
          <w:tcPr>
            <w:tcW w:w="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1D0FBF" w:rsidRPr="001D0FBF" w:rsidRDefault="001D0FBF" w:rsidP="001D0FBF">
            <w:pPr>
              <w:widowControl/>
              <w:jc w:val="center"/>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台</w:t>
            </w:r>
          </w:p>
        </w:tc>
        <w:tc>
          <w:tcPr>
            <w:tcW w:w="6680" w:type="dxa"/>
            <w:tcBorders>
              <w:top w:val="nil"/>
              <w:left w:val="nil"/>
              <w:bottom w:val="single" w:sz="4" w:space="0" w:color="auto"/>
              <w:right w:val="single" w:sz="4" w:space="0" w:color="auto"/>
            </w:tcBorders>
            <w:shd w:val="clear" w:color="auto" w:fill="auto"/>
            <w:vAlign w:val="center"/>
            <w:hideMark/>
          </w:tcPr>
          <w:p w:rsidR="001D0FBF" w:rsidRPr="001D0FBF" w:rsidRDefault="001D0FBF" w:rsidP="001D0FBF">
            <w:pPr>
              <w:widowControl/>
              <w:jc w:val="left"/>
              <w:rPr>
                <w:rFonts w:ascii="楷体" w:eastAsia="楷体" w:hAnsi="楷体" w:cs="宋体"/>
                <w:color w:val="000000"/>
                <w:kern w:val="0"/>
                <w:sz w:val="24"/>
                <w:szCs w:val="24"/>
              </w:rPr>
            </w:pPr>
            <w:r w:rsidRPr="001D0FBF">
              <w:rPr>
                <w:rFonts w:ascii="楷体" w:eastAsia="楷体" w:hAnsi="楷体" w:cs="宋体" w:hint="eastAsia"/>
                <w:color w:val="000000"/>
                <w:kern w:val="0"/>
                <w:sz w:val="24"/>
                <w:szCs w:val="24"/>
              </w:rPr>
              <w:t>柜体内胆和立柱材料采用SUS 304 1.2mm不锈钢板，封板为SUS 304 1.0mm不锈钢板制作；燃具采用静音节能型炉头，配置一键式点火及煤气熄火自动切断保护装置，水箱水位自动控制装置；承力脚采用φ50mm不锈钢可调节脚。</w:t>
            </w:r>
          </w:p>
        </w:tc>
      </w:tr>
    </w:tbl>
    <w:p w:rsidR="007A33D8" w:rsidRPr="001D0FBF" w:rsidRDefault="00C8282B"/>
    <w:sectPr w:rsidR="007A33D8" w:rsidRPr="001D0FBF" w:rsidSect="00E52F8A">
      <w:pgSz w:w="16838" w:h="11906" w:orient="landscape"/>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2B" w:rsidRDefault="00C8282B" w:rsidP="00AA1694">
      <w:r>
        <w:separator/>
      </w:r>
    </w:p>
  </w:endnote>
  <w:endnote w:type="continuationSeparator" w:id="0">
    <w:p w:rsidR="00C8282B" w:rsidRDefault="00C8282B" w:rsidP="00AA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2B" w:rsidRDefault="00C8282B" w:rsidP="00AA1694">
      <w:r>
        <w:separator/>
      </w:r>
    </w:p>
  </w:footnote>
  <w:footnote w:type="continuationSeparator" w:id="0">
    <w:p w:rsidR="00C8282B" w:rsidRDefault="00C8282B" w:rsidP="00AA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35"/>
    <w:rsid w:val="00193D8E"/>
    <w:rsid w:val="001D0FBF"/>
    <w:rsid w:val="007E2835"/>
    <w:rsid w:val="00AA1694"/>
    <w:rsid w:val="00AC1FA6"/>
    <w:rsid w:val="00C8282B"/>
    <w:rsid w:val="00E5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2F8A"/>
    <w:rPr>
      <w:sz w:val="18"/>
      <w:szCs w:val="18"/>
    </w:rPr>
  </w:style>
  <w:style w:type="character" w:customStyle="1" w:styleId="Char">
    <w:name w:val="批注框文本 Char"/>
    <w:basedOn w:val="a0"/>
    <w:link w:val="a3"/>
    <w:uiPriority w:val="99"/>
    <w:semiHidden/>
    <w:rsid w:val="00E52F8A"/>
    <w:rPr>
      <w:sz w:val="18"/>
      <w:szCs w:val="18"/>
    </w:rPr>
  </w:style>
  <w:style w:type="paragraph" w:styleId="a4">
    <w:name w:val="header"/>
    <w:basedOn w:val="a"/>
    <w:link w:val="Char0"/>
    <w:uiPriority w:val="99"/>
    <w:unhideWhenUsed/>
    <w:rsid w:val="00AA16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1694"/>
    <w:rPr>
      <w:sz w:val="18"/>
      <w:szCs w:val="18"/>
    </w:rPr>
  </w:style>
  <w:style w:type="paragraph" w:styleId="a5">
    <w:name w:val="footer"/>
    <w:basedOn w:val="a"/>
    <w:link w:val="Char1"/>
    <w:uiPriority w:val="99"/>
    <w:unhideWhenUsed/>
    <w:rsid w:val="00AA1694"/>
    <w:pPr>
      <w:tabs>
        <w:tab w:val="center" w:pos="4153"/>
        <w:tab w:val="right" w:pos="8306"/>
      </w:tabs>
      <w:snapToGrid w:val="0"/>
      <w:jc w:val="left"/>
    </w:pPr>
    <w:rPr>
      <w:sz w:val="18"/>
      <w:szCs w:val="18"/>
    </w:rPr>
  </w:style>
  <w:style w:type="character" w:customStyle="1" w:styleId="Char1">
    <w:name w:val="页脚 Char"/>
    <w:basedOn w:val="a0"/>
    <w:link w:val="a5"/>
    <w:uiPriority w:val="99"/>
    <w:rsid w:val="00AA16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2F8A"/>
    <w:rPr>
      <w:sz w:val="18"/>
      <w:szCs w:val="18"/>
    </w:rPr>
  </w:style>
  <w:style w:type="character" w:customStyle="1" w:styleId="Char">
    <w:name w:val="批注框文本 Char"/>
    <w:basedOn w:val="a0"/>
    <w:link w:val="a3"/>
    <w:uiPriority w:val="99"/>
    <w:semiHidden/>
    <w:rsid w:val="00E52F8A"/>
    <w:rPr>
      <w:sz w:val="18"/>
      <w:szCs w:val="18"/>
    </w:rPr>
  </w:style>
  <w:style w:type="paragraph" w:styleId="a4">
    <w:name w:val="header"/>
    <w:basedOn w:val="a"/>
    <w:link w:val="Char0"/>
    <w:uiPriority w:val="99"/>
    <w:unhideWhenUsed/>
    <w:rsid w:val="00AA16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1694"/>
    <w:rPr>
      <w:sz w:val="18"/>
      <w:szCs w:val="18"/>
    </w:rPr>
  </w:style>
  <w:style w:type="paragraph" w:styleId="a5">
    <w:name w:val="footer"/>
    <w:basedOn w:val="a"/>
    <w:link w:val="Char1"/>
    <w:uiPriority w:val="99"/>
    <w:unhideWhenUsed/>
    <w:rsid w:val="00AA1694"/>
    <w:pPr>
      <w:tabs>
        <w:tab w:val="center" w:pos="4153"/>
        <w:tab w:val="right" w:pos="8306"/>
      </w:tabs>
      <w:snapToGrid w:val="0"/>
      <w:jc w:val="left"/>
    </w:pPr>
    <w:rPr>
      <w:sz w:val="18"/>
      <w:szCs w:val="18"/>
    </w:rPr>
  </w:style>
  <w:style w:type="character" w:customStyle="1" w:styleId="Char1">
    <w:name w:val="页脚 Char"/>
    <w:basedOn w:val="a0"/>
    <w:link w:val="a5"/>
    <w:uiPriority w:val="99"/>
    <w:rsid w:val="00AA1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2017-08-01T07:54:00Z</cp:lastPrinted>
  <dcterms:created xsi:type="dcterms:W3CDTF">2017-08-01T07:31:00Z</dcterms:created>
  <dcterms:modified xsi:type="dcterms:W3CDTF">2017-08-01T07:59:00Z</dcterms:modified>
</cp:coreProperties>
</file>