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C8E" w:rsidRDefault="005C2C8E" w:rsidP="0078649A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宋体" w:eastAsia="宋体" w:hAnsi="宋体" w:cs="Courier New"/>
          <w:b/>
          <w:bCs/>
          <w:color w:val="000000" w:themeColor="text1"/>
          <w:kern w:val="0"/>
          <w:sz w:val="44"/>
          <w:szCs w:val="44"/>
        </w:rPr>
      </w:pPr>
      <w:r>
        <w:rPr>
          <w:rFonts w:ascii="宋体" w:eastAsia="宋体" w:hAnsi="宋体" w:cs="Courier New"/>
          <w:b/>
          <w:bCs/>
          <w:color w:val="000000" w:themeColor="text1"/>
          <w:kern w:val="0"/>
          <w:sz w:val="44"/>
          <w:szCs w:val="44"/>
        </w:rPr>
        <w:t>上海电力大学实验室安全</w:t>
      </w:r>
      <w:r w:rsidR="00E55804">
        <w:rPr>
          <w:rFonts w:ascii="宋体" w:eastAsia="宋体" w:hAnsi="宋体" w:cs="Courier New"/>
          <w:b/>
          <w:bCs/>
          <w:color w:val="000000" w:themeColor="text1"/>
          <w:kern w:val="0"/>
          <w:sz w:val="44"/>
          <w:szCs w:val="44"/>
        </w:rPr>
        <w:t>准入</w:t>
      </w:r>
      <w:r>
        <w:rPr>
          <w:rFonts w:ascii="宋体" w:eastAsia="宋体" w:hAnsi="宋体" w:cs="Courier New"/>
          <w:b/>
          <w:bCs/>
          <w:color w:val="000000" w:themeColor="text1"/>
          <w:kern w:val="0"/>
          <w:sz w:val="44"/>
          <w:szCs w:val="44"/>
        </w:rPr>
        <w:t>管理办法</w:t>
      </w:r>
    </w:p>
    <w:p w:rsidR="00E32B6D" w:rsidRDefault="00E32B6D" w:rsidP="0078649A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宋体" w:eastAsia="宋体" w:hAnsi="宋体" w:cs="Courier New"/>
          <w:b/>
          <w:bCs/>
          <w:color w:val="000000" w:themeColor="text1"/>
          <w:kern w:val="0"/>
          <w:sz w:val="44"/>
          <w:szCs w:val="44"/>
        </w:rPr>
      </w:pPr>
    </w:p>
    <w:p w:rsidR="00E32B6D" w:rsidRPr="00E32B6D" w:rsidRDefault="00E32B6D" w:rsidP="00E32B6D">
      <w:pPr>
        <w:spacing w:line="560" w:lineRule="exact"/>
        <w:jc w:val="center"/>
        <w:rPr>
          <w:rFonts w:hint="eastAsia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上电资〔</w:t>
      </w:r>
      <w:r>
        <w:rPr>
          <w:rFonts w:ascii="仿宋_GB2312" w:eastAsia="仿宋_GB2312"/>
          <w:sz w:val="32"/>
          <w:szCs w:val="32"/>
        </w:rPr>
        <w:t>2026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642CE4" w:rsidRPr="00A17022" w:rsidRDefault="00642CE4" w:rsidP="009E6BEF">
      <w:pPr>
        <w:spacing w:beforeLines="100" w:before="312" w:line="560" w:lineRule="exact"/>
        <w:ind w:firstLineChars="200" w:firstLine="643"/>
        <w:rPr>
          <w:rFonts w:ascii="仿宋_GB2312" w:eastAsia="仿宋_GB2312" w:hAnsi="Calibri" w:cs="Calibri"/>
          <w:sz w:val="32"/>
          <w:szCs w:val="32"/>
        </w:rPr>
      </w:pPr>
      <w:r w:rsidRPr="00A17022">
        <w:rPr>
          <w:rFonts w:ascii="仿宋_GB2312" w:eastAsia="仿宋_GB2312" w:hAnsi="Calibri" w:cs="Calibri" w:hint="eastAsia"/>
          <w:b/>
          <w:sz w:val="32"/>
          <w:szCs w:val="32"/>
        </w:rPr>
        <w:t>第一条</w:t>
      </w:r>
      <w:r>
        <w:rPr>
          <w:rFonts w:ascii="仿宋_GB2312" w:eastAsia="仿宋_GB2312" w:hAnsi="Calibri" w:cs="Calibri"/>
          <w:sz w:val="32"/>
          <w:szCs w:val="32"/>
        </w:rPr>
        <w:t xml:space="preserve"> </w:t>
      </w:r>
      <w:r w:rsidRPr="00A17022">
        <w:rPr>
          <w:rFonts w:ascii="仿宋_GB2312" w:eastAsia="仿宋_GB2312" w:hAnsi="Calibri" w:cs="Calibri" w:hint="eastAsia"/>
          <w:sz w:val="32"/>
          <w:szCs w:val="32"/>
        </w:rPr>
        <w:t>为进一步加强实验室安全管理，提高我校实验人员的实验室安全防范意识和应急能力，防止实验室安全事故的发生，保障实验室正常有序运行，特制定本制度。</w:t>
      </w:r>
    </w:p>
    <w:p w:rsidR="00642CE4" w:rsidRPr="00A17022" w:rsidRDefault="00642CE4" w:rsidP="009E6BEF">
      <w:pPr>
        <w:spacing w:line="560" w:lineRule="exact"/>
        <w:ind w:firstLineChars="200" w:firstLine="643"/>
        <w:rPr>
          <w:rFonts w:ascii="仿宋_GB2312" w:eastAsia="仿宋_GB2312" w:hAnsi="Calibri" w:cs="Calibri"/>
          <w:sz w:val="32"/>
          <w:szCs w:val="32"/>
        </w:rPr>
      </w:pPr>
      <w:r w:rsidRPr="00A17022">
        <w:rPr>
          <w:rFonts w:ascii="仿宋_GB2312" w:eastAsia="仿宋_GB2312" w:hAnsi="Calibri" w:cs="Calibri" w:hint="eastAsia"/>
          <w:b/>
          <w:sz w:val="32"/>
          <w:szCs w:val="32"/>
        </w:rPr>
        <w:t>第二条</w:t>
      </w:r>
      <w:r>
        <w:rPr>
          <w:rFonts w:ascii="仿宋_GB2312" w:eastAsia="仿宋_GB2312" w:hAnsi="Calibri" w:cs="Calibri"/>
          <w:sz w:val="32"/>
          <w:szCs w:val="32"/>
        </w:rPr>
        <w:t xml:space="preserve"> </w:t>
      </w:r>
      <w:r w:rsidRPr="00A17022">
        <w:rPr>
          <w:rFonts w:ascii="仿宋_GB2312" w:eastAsia="仿宋_GB2312" w:hAnsi="Calibri" w:cs="Calibri" w:hint="eastAsia"/>
          <w:sz w:val="32"/>
          <w:szCs w:val="32"/>
        </w:rPr>
        <w:t>本管理办法所称的实验室，是指我校各级各类实验室。</w:t>
      </w:r>
    </w:p>
    <w:p w:rsidR="00642CE4" w:rsidRPr="00A17022" w:rsidRDefault="00642CE4" w:rsidP="009E6BEF">
      <w:pPr>
        <w:spacing w:line="560" w:lineRule="exact"/>
        <w:ind w:firstLineChars="200" w:firstLine="643"/>
        <w:rPr>
          <w:rFonts w:ascii="仿宋_GB2312" w:eastAsia="仿宋_GB2312" w:hAnsi="Calibri" w:cs="Calibri"/>
          <w:sz w:val="32"/>
          <w:szCs w:val="32"/>
        </w:rPr>
      </w:pPr>
      <w:r w:rsidRPr="00A17022">
        <w:rPr>
          <w:rFonts w:ascii="仿宋_GB2312" w:eastAsia="仿宋_GB2312" w:hAnsi="Calibri" w:cs="Calibri" w:hint="eastAsia"/>
          <w:b/>
          <w:sz w:val="32"/>
          <w:szCs w:val="32"/>
        </w:rPr>
        <w:t>第三条</w:t>
      </w:r>
      <w:r>
        <w:rPr>
          <w:rFonts w:ascii="仿宋_GB2312" w:eastAsia="仿宋_GB2312" w:hAnsi="Calibri" w:cs="Calibri"/>
          <w:sz w:val="32"/>
          <w:szCs w:val="32"/>
        </w:rPr>
        <w:t xml:space="preserve"> </w:t>
      </w:r>
      <w:r w:rsidRPr="00A17022">
        <w:rPr>
          <w:rFonts w:ascii="仿宋_GB2312" w:eastAsia="仿宋_GB2312" w:hAnsi="Calibri" w:cs="Calibri" w:hint="eastAsia"/>
          <w:sz w:val="32"/>
          <w:szCs w:val="32"/>
        </w:rPr>
        <w:t>本管理办法适用于我校全体实验室人员（含学生、教师、实验技术人员）。</w:t>
      </w:r>
    </w:p>
    <w:p w:rsidR="00642CE4" w:rsidRPr="00A17022" w:rsidRDefault="00642CE4" w:rsidP="009E6BEF">
      <w:pPr>
        <w:spacing w:line="560" w:lineRule="exact"/>
        <w:ind w:firstLineChars="200" w:firstLine="643"/>
        <w:rPr>
          <w:rFonts w:ascii="仿宋_GB2312" w:eastAsia="仿宋_GB2312" w:hAnsi="Calibri" w:cs="Calibri"/>
          <w:sz w:val="32"/>
          <w:szCs w:val="32"/>
        </w:rPr>
      </w:pPr>
      <w:r w:rsidRPr="00A17022">
        <w:rPr>
          <w:rFonts w:ascii="仿宋_GB2312" w:eastAsia="仿宋_GB2312" w:hAnsi="Calibri" w:cs="Calibri" w:hint="eastAsia"/>
          <w:b/>
          <w:sz w:val="32"/>
          <w:szCs w:val="32"/>
        </w:rPr>
        <w:t>第四条</w:t>
      </w:r>
      <w:r>
        <w:rPr>
          <w:rFonts w:ascii="仿宋_GB2312" w:eastAsia="仿宋_GB2312" w:hAnsi="Calibri" w:cs="Calibri"/>
          <w:sz w:val="32"/>
          <w:szCs w:val="32"/>
        </w:rPr>
        <w:t xml:space="preserve"> </w:t>
      </w:r>
      <w:r w:rsidRPr="00A17022">
        <w:rPr>
          <w:rFonts w:ascii="仿宋_GB2312" w:eastAsia="仿宋_GB2312" w:hAnsi="Calibri" w:cs="Calibri" w:hint="eastAsia"/>
          <w:sz w:val="32"/>
          <w:szCs w:val="32"/>
        </w:rPr>
        <w:t>实验室安全知识是必修内容。全校新进实验室人员必须参加实验室安全知识的学习，通过实验室安全知识考试，签署实验室安全承诺书，取得合格准入证书后，方可进入实验室。</w:t>
      </w:r>
    </w:p>
    <w:p w:rsidR="00642CE4" w:rsidRPr="00A17022" w:rsidRDefault="00642CE4" w:rsidP="009E6BEF">
      <w:pPr>
        <w:spacing w:line="560" w:lineRule="exact"/>
        <w:ind w:firstLineChars="200" w:firstLine="643"/>
        <w:rPr>
          <w:rFonts w:ascii="仿宋_GB2312" w:eastAsia="仿宋_GB2312" w:hAnsi="Calibri" w:cs="Calibri"/>
          <w:sz w:val="32"/>
          <w:szCs w:val="32"/>
        </w:rPr>
      </w:pPr>
      <w:r w:rsidRPr="00A17022">
        <w:rPr>
          <w:rFonts w:ascii="仿宋_GB2312" w:eastAsia="仿宋_GB2312" w:hAnsi="Calibri" w:cs="Calibri" w:hint="eastAsia"/>
          <w:b/>
          <w:sz w:val="32"/>
          <w:szCs w:val="32"/>
        </w:rPr>
        <w:t>第五条</w:t>
      </w:r>
      <w:r>
        <w:rPr>
          <w:rFonts w:ascii="仿宋_GB2312" w:eastAsia="仿宋_GB2312" w:hAnsi="Calibri" w:cs="Calibri"/>
          <w:sz w:val="32"/>
          <w:szCs w:val="32"/>
        </w:rPr>
        <w:t xml:space="preserve"> </w:t>
      </w:r>
      <w:r w:rsidRPr="00A17022">
        <w:rPr>
          <w:rFonts w:ascii="仿宋_GB2312" w:eastAsia="仿宋_GB2312" w:hAnsi="Calibri" w:cs="Calibri" w:hint="eastAsia"/>
          <w:sz w:val="32"/>
          <w:szCs w:val="32"/>
        </w:rPr>
        <w:t>实验室与资产管理处按照“统一标准、集中建库、分散考试”的原则，建设并维护实验室安全教育考试系统，及时更新学习内容与题库。各院部负责根据各</w:t>
      </w:r>
      <w:r w:rsidR="00374B02">
        <w:rPr>
          <w:rFonts w:ascii="仿宋_GB2312" w:eastAsia="仿宋_GB2312" w:hAnsi="Calibri" w:cs="Calibri" w:hint="eastAsia"/>
          <w:sz w:val="32"/>
          <w:szCs w:val="32"/>
        </w:rPr>
        <w:t>实验室类别和安全等级，组织本院部实验人员进行实验室安全知识的</w:t>
      </w:r>
      <w:r w:rsidRPr="00A17022">
        <w:rPr>
          <w:rFonts w:ascii="仿宋_GB2312" w:eastAsia="仿宋_GB2312" w:hAnsi="Calibri" w:cs="Calibri" w:hint="eastAsia"/>
          <w:sz w:val="32"/>
          <w:szCs w:val="32"/>
        </w:rPr>
        <w:t>培训和准入考试。各实验室负责人、安全管理员和实验人员等应根据所在实验室类别和安全等级，接受相应等级的安全培训并开展相应的应急演练。</w:t>
      </w:r>
    </w:p>
    <w:p w:rsidR="00642CE4" w:rsidRPr="00A17022" w:rsidRDefault="00642CE4" w:rsidP="009E6BEF">
      <w:pPr>
        <w:spacing w:line="560" w:lineRule="exact"/>
        <w:ind w:firstLineChars="200" w:firstLine="643"/>
        <w:rPr>
          <w:rFonts w:ascii="仿宋_GB2312" w:eastAsia="仿宋_GB2312" w:hAnsi="Calibri" w:cs="Calibri"/>
          <w:sz w:val="32"/>
          <w:szCs w:val="32"/>
        </w:rPr>
      </w:pPr>
      <w:r w:rsidRPr="00A17022">
        <w:rPr>
          <w:rFonts w:ascii="仿宋_GB2312" w:eastAsia="仿宋_GB2312" w:hAnsi="Calibri" w:cs="Calibri" w:hint="eastAsia"/>
          <w:b/>
          <w:sz w:val="32"/>
          <w:szCs w:val="32"/>
        </w:rPr>
        <w:t>第六条</w:t>
      </w:r>
      <w:r>
        <w:rPr>
          <w:rFonts w:ascii="仿宋_GB2312" w:eastAsia="仿宋_GB2312" w:hAnsi="Calibri" w:cs="Calibri"/>
          <w:sz w:val="32"/>
          <w:szCs w:val="32"/>
        </w:rPr>
        <w:t xml:space="preserve"> </w:t>
      </w:r>
      <w:r w:rsidRPr="00A17022">
        <w:rPr>
          <w:rFonts w:ascii="仿宋_GB2312" w:eastAsia="仿宋_GB2312" w:hAnsi="Calibri" w:cs="Calibri" w:hint="eastAsia"/>
          <w:sz w:val="32"/>
          <w:szCs w:val="32"/>
        </w:rPr>
        <w:t>各院部结合学科特色和实验室特点，制定实验室安全教育和考试计划，将实验室安全教育纳入新生入学教育，严格落实实验室安全准入制度，督促相关人员完成学习和考试，严格</w:t>
      </w:r>
      <w:r w:rsidRPr="00A17022">
        <w:rPr>
          <w:rFonts w:ascii="仿宋_GB2312" w:eastAsia="仿宋_GB2312" w:hAnsi="Calibri" w:cs="Calibri" w:hint="eastAsia"/>
          <w:sz w:val="32"/>
          <w:szCs w:val="32"/>
        </w:rPr>
        <w:lastRenderedPageBreak/>
        <w:t>禁止未获得合格准入证书的人员进入实验室。若违反以上制度要求，按照学校有关规定进行处理。</w:t>
      </w:r>
    </w:p>
    <w:p w:rsidR="00642CE4" w:rsidRPr="00A17022" w:rsidRDefault="00642CE4" w:rsidP="009E6BEF">
      <w:pPr>
        <w:spacing w:line="560" w:lineRule="exact"/>
        <w:ind w:firstLineChars="200" w:firstLine="643"/>
        <w:rPr>
          <w:rFonts w:ascii="仿宋_GB2312" w:eastAsia="仿宋_GB2312" w:hAnsi="Calibri" w:cs="Calibri"/>
          <w:sz w:val="32"/>
          <w:szCs w:val="32"/>
        </w:rPr>
      </w:pPr>
      <w:r w:rsidRPr="00A17022">
        <w:rPr>
          <w:rFonts w:ascii="仿宋_GB2312" w:eastAsia="仿宋_GB2312" w:hAnsi="Calibri" w:cs="Calibri" w:hint="eastAsia"/>
          <w:b/>
          <w:sz w:val="32"/>
          <w:szCs w:val="32"/>
        </w:rPr>
        <w:t>第七条</w:t>
      </w:r>
      <w:r>
        <w:rPr>
          <w:rFonts w:ascii="仿宋_GB2312" w:eastAsia="仿宋_GB2312" w:hAnsi="Calibri" w:cs="Calibri"/>
          <w:sz w:val="32"/>
          <w:szCs w:val="32"/>
        </w:rPr>
        <w:t xml:space="preserve"> </w:t>
      </w:r>
      <w:r w:rsidRPr="00A17022">
        <w:rPr>
          <w:rFonts w:ascii="仿宋_GB2312" w:eastAsia="仿宋_GB2312" w:hAnsi="Calibri" w:cs="Calibri" w:hint="eastAsia"/>
          <w:sz w:val="32"/>
          <w:szCs w:val="32"/>
        </w:rPr>
        <w:t>通识类安全知识是所有实验人员必须学习并掌握的实验室安全知识。新进实验室人员应完成通识类、消防类安全知识的学习并通过考试。理工类实验人员须根据所属专业类别，学习并掌握专业安全知识，如化学类、电气类、机械类、辐射类、生物类。完成相关专业安全知识的学习并通过考试后，方可进入专业实验室。师生开展专业实验（含金工实习）或科研活动前，各院部专业教师应有针对性地对其进行危险告知、操作培训，并视情况进行专项考试。</w:t>
      </w:r>
    </w:p>
    <w:p w:rsidR="00642CE4" w:rsidRPr="00A17022" w:rsidRDefault="00642CE4" w:rsidP="009E6BEF">
      <w:pPr>
        <w:spacing w:line="560" w:lineRule="exact"/>
        <w:ind w:firstLineChars="200" w:firstLine="643"/>
        <w:rPr>
          <w:rFonts w:ascii="仿宋_GB2312" w:eastAsia="仿宋_GB2312" w:hAnsi="Calibri" w:cs="Calibri"/>
          <w:sz w:val="32"/>
          <w:szCs w:val="32"/>
        </w:rPr>
      </w:pPr>
      <w:r w:rsidRPr="00A17022">
        <w:rPr>
          <w:rFonts w:ascii="仿宋_GB2312" w:eastAsia="仿宋_GB2312" w:hAnsi="Calibri" w:cs="Calibri" w:hint="eastAsia"/>
          <w:b/>
          <w:sz w:val="32"/>
          <w:szCs w:val="32"/>
        </w:rPr>
        <w:t>第八条</w:t>
      </w:r>
      <w:r>
        <w:rPr>
          <w:rFonts w:ascii="仿宋_GB2312" w:eastAsia="仿宋_GB2312" w:hAnsi="Calibri" w:cs="Calibri"/>
          <w:sz w:val="32"/>
          <w:szCs w:val="32"/>
        </w:rPr>
        <w:t xml:space="preserve"> </w:t>
      </w:r>
      <w:r w:rsidRPr="00A17022">
        <w:rPr>
          <w:rFonts w:ascii="仿宋_GB2312" w:eastAsia="仿宋_GB2312" w:hAnsi="Calibri" w:cs="Calibri" w:hint="eastAsia"/>
          <w:sz w:val="32"/>
          <w:szCs w:val="32"/>
        </w:rPr>
        <w:t>实验室相关人员通过“实验室安全教育考试系统”的在线学习功能，根据《高校实验室分级管理要求参照表》中要求，进行实验室安全知识学习。</w:t>
      </w:r>
    </w:p>
    <w:p w:rsidR="00642CE4" w:rsidRPr="00A17022" w:rsidRDefault="00642CE4" w:rsidP="009E6BEF">
      <w:pPr>
        <w:spacing w:line="560" w:lineRule="exact"/>
        <w:ind w:firstLineChars="200" w:firstLine="643"/>
        <w:rPr>
          <w:rFonts w:ascii="仿宋_GB2312" w:eastAsia="仿宋_GB2312" w:hAnsi="Calibri" w:cs="Calibri"/>
          <w:sz w:val="32"/>
          <w:szCs w:val="32"/>
        </w:rPr>
      </w:pPr>
      <w:r w:rsidRPr="00A17022">
        <w:rPr>
          <w:rFonts w:ascii="仿宋_GB2312" w:eastAsia="仿宋_GB2312" w:hAnsi="Calibri" w:cs="Calibri" w:hint="eastAsia"/>
          <w:b/>
          <w:sz w:val="32"/>
          <w:szCs w:val="32"/>
        </w:rPr>
        <w:t>第九条</w:t>
      </w:r>
      <w:r>
        <w:rPr>
          <w:rFonts w:ascii="仿宋_GB2312" w:eastAsia="仿宋_GB2312" w:hAnsi="Calibri" w:cs="Calibri"/>
          <w:sz w:val="32"/>
          <w:szCs w:val="32"/>
        </w:rPr>
        <w:t xml:space="preserve"> </w:t>
      </w:r>
      <w:r w:rsidRPr="00A17022">
        <w:rPr>
          <w:rFonts w:ascii="仿宋_GB2312" w:eastAsia="仿宋_GB2312" w:hAnsi="Calibri" w:cs="Calibri" w:hint="eastAsia"/>
          <w:sz w:val="32"/>
          <w:szCs w:val="32"/>
        </w:rPr>
        <w:t>新进实验室人员达到在线学习时长要求后，在院部规定的时间段内登录“实验室安全教育考试系统”进行实验室安全准入考试，满分</w:t>
      </w:r>
      <w:r w:rsidRPr="00A17022">
        <w:rPr>
          <w:rFonts w:ascii="仿宋_GB2312" w:eastAsia="仿宋_GB2312" w:hAnsi="Calibri" w:cs="Calibri"/>
          <w:sz w:val="32"/>
          <w:szCs w:val="32"/>
        </w:rPr>
        <w:t>100</w:t>
      </w:r>
      <w:r w:rsidRPr="00A17022">
        <w:rPr>
          <w:rFonts w:ascii="仿宋_GB2312" w:eastAsia="仿宋_GB2312" w:hAnsi="Calibri" w:cs="Calibri" w:hint="eastAsia"/>
          <w:sz w:val="32"/>
          <w:szCs w:val="32"/>
        </w:rPr>
        <w:t>分，得分超过</w:t>
      </w:r>
      <w:r w:rsidRPr="00A17022">
        <w:rPr>
          <w:rFonts w:ascii="仿宋_GB2312" w:eastAsia="仿宋_GB2312" w:hAnsi="Calibri" w:cs="Calibri"/>
          <w:sz w:val="32"/>
          <w:szCs w:val="32"/>
        </w:rPr>
        <w:t>90</w:t>
      </w:r>
      <w:r w:rsidRPr="00A17022">
        <w:rPr>
          <w:rFonts w:ascii="仿宋_GB2312" w:eastAsia="仿宋_GB2312" w:hAnsi="Calibri" w:cs="Calibri" w:hint="eastAsia"/>
          <w:sz w:val="32"/>
          <w:szCs w:val="32"/>
        </w:rPr>
        <w:t>分（含）为考试合格。</w:t>
      </w:r>
    </w:p>
    <w:p w:rsidR="00642CE4" w:rsidRPr="00A17022" w:rsidRDefault="00642CE4" w:rsidP="009E6BEF">
      <w:pPr>
        <w:spacing w:line="560" w:lineRule="exact"/>
        <w:ind w:firstLineChars="200" w:firstLine="643"/>
        <w:rPr>
          <w:rFonts w:ascii="仿宋_GB2312" w:eastAsia="仿宋_GB2312" w:hAnsi="Calibri" w:cs="Calibri"/>
          <w:sz w:val="32"/>
          <w:szCs w:val="32"/>
        </w:rPr>
      </w:pPr>
      <w:r w:rsidRPr="00A17022">
        <w:rPr>
          <w:rFonts w:ascii="仿宋_GB2312" w:eastAsia="仿宋_GB2312" w:hAnsi="Calibri" w:cs="Calibri" w:hint="eastAsia"/>
          <w:b/>
          <w:sz w:val="32"/>
          <w:szCs w:val="32"/>
        </w:rPr>
        <w:t>第十条</w:t>
      </w:r>
      <w:r>
        <w:rPr>
          <w:rFonts w:ascii="仿宋_GB2312" w:eastAsia="仿宋_GB2312" w:hAnsi="Calibri" w:cs="Calibri"/>
          <w:sz w:val="32"/>
          <w:szCs w:val="32"/>
        </w:rPr>
        <w:t xml:space="preserve"> </w:t>
      </w:r>
      <w:r w:rsidRPr="00A17022">
        <w:rPr>
          <w:rFonts w:ascii="仿宋_GB2312" w:eastAsia="仿宋_GB2312" w:hAnsi="Calibri" w:cs="Calibri" w:hint="eastAsia"/>
          <w:sz w:val="32"/>
          <w:szCs w:val="32"/>
        </w:rPr>
        <w:t>涉及跨学科的实验人员，须学习相应学科的安全知识并通过考试，方可进入相应学科的实验室，具体由学科所在院部组织实施。</w:t>
      </w:r>
    </w:p>
    <w:p w:rsidR="00642CE4" w:rsidRPr="00A17022" w:rsidRDefault="00642CE4" w:rsidP="009E6BEF">
      <w:pPr>
        <w:spacing w:line="560" w:lineRule="exact"/>
        <w:ind w:firstLineChars="200" w:firstLine="643"/>
        <w:rPr>
          <w:rFonts w:ascii="仿宋_GB2312" w:eastAsia="仿宋_GB2312" w:hAnsi="Calibri" w:cs="Calibri"/>
          <w:sz w:val="32"/>
          <w:szCs w:val="32"/>
        </w:rPr>
      </w:pPr>
      <w:r w:rsidRPr="00A17022">
        <w:rPr>
          <w:rFonts w:ascii="仿宋_GB2312" w:eastAsia="仿宋_GB2312" w:hAnsi="Calibri" w:cs="Calibri" w:hint="eastAsia"/>
          <w:b/>
          <w:sz w:val="32"/>
          <w:szCs w:val="32"/>
        </w:rPr>
        <w:t>第十一条</w:t>
      </w:r>
      <w:r>
        <w:rPr>
          <w:rFonts w:ascii="仿宋_GB2312" w:eastAsia="仿宋_GB2312" w:hAnsi="Calibri" w:cs="Calibri"/>
          <w:sz w:val="32"/>
          <w:szCs w:val="32"/>
        </w:rPr>
        <w:t xml:space="preserve"> </w:t>
      </w:r>
      <w:r w:rsidRPr="00A17022">
        <w:rPr>
          <w:rFonts w:ascii="仿宋_GB2312" w:eastAsia="仿宋_GB2312" w:hAnsi="Calibri" w:cs="Calibri" w:hint="eastAsia"/>
          <w:sz w:val="32"/>
          <w:szCs w:val="32"/>
        </w:rPr>
        <w:t>各院部实验室安全准入管理办法的实施情况纳入实验室</w:t>
      </w:r>
      <w:r w:rsidR="00374B02">
        <w:rPr>
          <w:rFonts w:ascii="仿宋_GB2312" w:eastAsia="仿宋_GB2312" w:hAnsi="Calibri" w:cs="Calibri" w:hint="eastAsia"/>
          <w:sz w:val="32"/>
          <w:szCs w:val="32"/>
        </w:rPr>
        <w:t>管理</w:t>
      </w:r>
      <w:r w:rsidRPr="00A17022">
        <w:rPr>
          <w:rFonts w:ascii="仿宋_GB2312" w:eastAsia="仿宋_GB2312" w:hAnsi="Calibri" w:cs="Calibri" w:hint="eastAsia"/>
          <w:sz w:val="32"/>
          <w:szCs w:val="32"/>
        </w:rPr>
        <w:t>考核指标，由实验室与资产管理处负责日常监督、检查。</w:t>
      </w:r>
    </w:p>
    <w:p w:rsidR="00642CE4" w:rsidRPr="005F698B" w:rsidRDefault="00642CE4" w:rsidP="009E6BEF">
      <w:pPr>
        <w:autoSpaceDE w:val="0"/>
        <w:autoSpaceDN w:val="0"/>
        <w:adjustRightInd w:val="0"/>
        <w:spacing w:beforeLines="100" w:before="312" w:line="560" w:lineRule="exact"/>
        <w:ind w:firstLineChars="200" w:firstLine="643"/>
        <w:rPr>
          <w:rFonts w:ascii="仿宋_GB2312" w:eastAsia="仿宋_GB2312" w:hAnsi="Calibri" w:cs="Calibri"/>
          <w:sz w:val="32"/>
          <w:szCs w:val="32"/>
        </w:rPr>
      </w:pPr>
      <w:r w:rsidRPr="00A17022">
        <w:rPr>
          <w:rFonts w:ascii="仿宋_GB2312" w:eastAsia="仿宋_GB2312" w:hAnsi="Calibri" w:cs="Calibri" w:hint="eastAsia"/>
          <w:b/>
          <w:sz w:val="32"/>
          <w:szCs w:val="32"/>
        </w:rPr>
        <w:lastRenderedPageBreak/>
        <w:t>第十二条</w:t>
      </w:r>
      <w:r>
        <w:rPr>
          <w:rFonts w:ascii="仿宋_GB2312" w:eastAsia="仿宋_GB2312" w:hAnsi="Calibri" w:cs="Calibri"/>
          <w:sz w:val="32"/>
          <w:szCs w:val="32"/>
        </w:rPr>
        <w:t xml:space="preserve"> </w:t>
      </w:r>
      <w:r w:rsidRPr="005F698B">
        <w:rPr>
          <w:rFonts w:ascii="仿宋_GB2312" w:eastAsia="仿宋_GB2312" w:hAnsi="Calibri" w:cs="Calibri" w:hint="eastAsia"/>
          <w:sz w:val="32"/>
          <w:szCs w:val="32"/>
        </w:rPr>
        <w:t>本管理办法自公布之日起执行，原《上海电力大学实验室安全</w:t>
      </w:r>
      <w:r>
        <w:rPr>
          <w:rFonts w:ascii="仿宋_GB2312" w:eastAsia="仿宋_GB2312" w:hAnsi="Calibri" w:cs="Calibri" w:hint="eastAsia"/>
          <w:sz w:val="32"/>
          <w:szCs w:val="32"/>
        </w:rPr>
        <w:t>准入制度</w:t>
      </w:r>
      <w:r w:rsidRPr="005F698B">
        <w:rPr>
          <w:rFonts w:ascii="仿宋_GB2312" w:eastAsia="仿宋_GB2312" w:hAnsi="Calibri" w:cs="Calibri" w:hint="eastAsia"/>
          <w:sz w:val="32"/>
          <w:szCs w:val="32"/>
        </w:rPr>
        <w:t>》</w:t>
      </w:r>
      <w:r>
        <w:rPr>
          <w:rFonts w:ascii="仿宋_GB2312" w:eastAsia="仿宋_GB2312" w:hAnsi="Calibri" w:cs="Calibri" w:hint="eastAsia"/>
          <w:sz w:val="32"/>
          <w:szCs w:val="32"/>
        </w:rPr>
        <w:t>（上电资</w:t>
      </w:r>
      <w:r w:rsidRPr="005F698B">
        <w:rPr>
          <w:rFonts w:ascii="仿宋_GB2312" w:eastAsia="仿宋_GB2312" w:hAnsi="Calibri" w:cs="Calibri" w:hint="eastAsia"/>
          <w:sz w:val="32"/>
          <w:szCs w:val="32"/>
        </w:rPr>
        <w:t>[2</w:t>
      </w:r>
      <w:r w:rsidRPr="005F698B">
        <w:rPr>
          <w:rFonts w:ascii="仿宋_GB2312" w:eastAsia="仿宋_GB2312" w:hAnsi="Calibri" w:cs="Calibri"/>
          <w:sz w:val="32"/>
          <w:szCs w:val="32"/>
        </w:rPr>
        <w:t>02</w:t>
      </w:r>
      <w:r>
        <w:rPr>
          <w:rFonts w:ascii="仿宋_GB2312" w:eastAsia="仿宋_GB2312" w:hAnsi="Calibri" w:cs="Calibri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]</w:t>
      </w:r>
      <w:r>
        <w:rPr>
          <w:rFonts w:ascii="仿宋_GB2312" w:eastAsia="仿宋_GB2312" w:hAnsi="Calibri" w:cs="Calibri"/>
          <w:sz w:val="32"/>
          <w:szCs w:val="32"/>
        </w:rPr>
        <w:t>5号）</w:t>
      </w:r>
      <w:r w:rsidRPr="005F698B">
        <w:rPr>
          <w:rFonts w:ascii="仿宋_GB2312" w:eastAsia="仿宋_GB2312" w:hAnsi="Calibri" w:cs="Calibri" w:hint="eastAsia"/>
          <w:sz w:val="32"/>
          <w:szCs w:val="32"/>
        </w:rPr>
        <w:t>同日失效。本管理办法解释权归实验室与资产管理处。</w:t>
      </w:r>
    </w:p>
    <w:p w:rsidR="0078649A" w:rsidRDefault="0078649A" w:rsidP="0078649A">
      <w:pPr>
        <w:adjustRightInd w:val="0"/>
        <w:snapToGrid w:val="0"/>
        <w:spacing w:line="360" w:lineRule="auto"/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78649A" w:rsidSect="003F3F0F">
      <w:footerReference w:type="default" r:id="rId7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35E" w:rsidRDefault="007D035E"/>
  </w:endnote>
  <w:endnote w:type="continuationSeparator" w:id="0">
    <w:p w:rsidR="007D035E" w:rsidRDefault="007D03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1942775"/>
      <w:docPartObj>
        <w:docPartGallery w:val="AutoText"/>
      </w:docPartObj>
    </w:sdtPr>
    <w:sdtEndPr>
      <w:rPr>
        <w:rFonts w:ascii="宋体" w:eastAsia="宋体" w:hAnsi="宋体"/>
        <w:sz w:val="28"/>
        <w:szCs w:val="28"/>
      </w:rPr>
    </w:sdtEndPr>
    <w:sdtContent>
      <w:p w:rsidR="000D12FF" w:rsidRDefault="007E2C5D">
        <w:pPr>
          <w:pStyle w:val="a4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cs="宋体" w:hint="eastAsia"/>
            <w:sz w:val="28"/>
            <w:szCs w:val="28"/>
          </w:rPr>
          <w:fldChar w:fldCharType="begin"/>
        </w:r>
        <w:r>
          <w:rPr>
            <w:rFonts w:ascii="宋体" w:eastAsia="宋体" w:hAnsi="宋体" w:cs="宋体" w:hint="eastAsia"/>
            <w:sz w:val="28"/>
            <w:szCs w:val="28"/>
          </w:rPr>
          <w:instrText>PAGE   \* MERGEFORMAT</w:instrText>
        </w:r>
        <w:r>
          <w:rPr>
            <w:rFonts w:ascii="宋体" w:eastAsia="宋体" w:hAnsi="宋体" w:cs="宋体" w:hint="eastAsia"/>
            <w:sz w:val="28"/>
            <w:szCs w:val="28"/>
          </w:rPr>
          <w:fldChar w:fldCharType="separate"/>
        </w:r>
        <w:r w:rsidR="00E32B6D" w:rsidRPr="00E32B6D">
          <w:rPr>
            <w:rFonts w:ascii="宋体" w:eastAsia="宋体" w:hAnsi="宋体" w:cs="宋体"/>
            <w:noProof/>
            <w:sz w:val="28"/>
            <w:szCs w:val="28"/>
            <w:lang w:val="zh-CN"/>
          </w:rPr>
          <w:t>-</w:t>
        </w:r>
        <w:r w:rsidR="00E32B6D">
          <w:rPr>
            <w:rFonts w:ascii="宋体" w:eastAsia="宋体" w:hAnsi="宋体" w:cs="宋体"/>
            <w:noProof/>
            <w:sz w:val="28"/>
            <w:szCs w:val="28"/>
          </w:rPr>
          <w:t xml:space="preserve"> 3 -</w:t>
        </w:r>
        <w:r>
          <w:rPr>
            <w:rFonts w:ascii="宋体" w:eastAsia="宋体" w:hAnsi="宋体" w:cs="宋体" w:hint="eastAsia"/>
            <w:sz w:val="28"/>
            <w:szCs w:val="28"/>
          </w:rPr>
          <w:fldChar w:fldCharType="end"/>
        </w:r>
      </w:p>
    </w:sdtContent>
  </w:sdt>
  <w:p w:rsidR="000D12FF" w:rsidRDefault="000D12F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35E" w:rsidRDefault="007D035E"/>
  </w:footnote>
  <w:footnote w:type="continuationSeparator" w:id="0">
    <w:p w:rsidR="007D035E" w:rsidRDefault="007D035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318CB"/>
    <w:multiLevelType w:val="multilevel"/>
    <w:tmpl w:val="7DF318CB"/>
    <w:lvl w:ilvl="0">
      <w:start w:val="1"/>
      <w:numFmt w:val="decimalEnclosedCircle"/>
      <w:lvlText w:val="%1"/>
      <w:lvlJc w:val="left"/>
      <w:pPr>
        <w:ind w:left="1001" w:hanging="360"/>
      </w:pPr>
      <w:rPr>
        <w:rFonts w:cs="宋体" w:hint="default"/>
        <w:b/>
      </w:rPr>
    </w:lvl>
    <w:lvl w:ilvl="1">
      <w:start w:val="1"/>
      <w:numFmt w:val="lowerLetter"/>
      <w:lvlText w:val="%2)"/>
      <w:lvlJc w:val="left"/>
      <w:pPr>
        <w:ind w:left="1481" w:hanging="420"/>
      </w:pPr>
    </w:lvl>
    <w:lvl w:ilvl="2">
      <w:start w:val="1"/>
      <w:numFmt w:val="lowerRoman"/>
      <w:lvlText w:val="%3."/>
      <w:lvlJc w:val="right"/>
      <w:pPr>
        <w:ind w:left="1901" w:hanging="420"/>
      </w:pPr>
    </w:lvl>
    <w:lvl w:ilvl="3">
      <w:start w:val="1"/>
      <w:numFmt w:val="decimal"/>
      <w:lvlText w:val="%4."/>
      <w:lvlJc w:val="left"/>
      <w:pPr>
        <w:ind w:left="2321" w:hanging="420"/>
      </w:pPr>
    </w:lvl>
    <w:lvl w:ilvl="4">
      <w:start w:val="1"/>
      <w:numFmt w:val="lowerLetter"/>
      <w:lvlText w:val="%5)"/>
      <w:lvlJc w:val="left"/>
      <w:pPr>
        <w:ind w:left="2741" w:hanging="420"/>
      </w:pPr>
    </w:lvl>
    <w:lvl w:ilvl="5">
      <w:start w:val="1"/>
      <w:numFmt w:val="lowerRoman"/>
      <w:lvlText w:val="%6."/>
      <w:lvlJc w:val="right"/>
      <w:pPr>
        <w:ind w:left="3161" w:hanging="420"/>
      </w:pPr>
    </w:lvl>
    <w:lvl w:ilvl="6">
      <w:start w:val="1"/>
      <w:numFmt w:val="decimal"/>
      <w:lvlText w:val="%7."/>
      <w:lvlJc w:val="left"/>
      <w:pPr>
        <w:ind w:left="3581" w:hanging="420"/>
      </w:pPr>
    </w:lvl>
    <w:lvl w:ilvl="7">
      <w:start w:val="1"/>
      <w:numFmt w:val="lowerLetter"/>
      <w:lvlText w:val="%8)"/>
      <w:lvlJc w:val="left"/>
      <w:pPr>
        <w:ind w:left="4001" w:hanging="420"/>
      </w:pPr>
    </w:lvl>
    <w:lvl w:ilvl="8">
      <w:start w:val="1"/>
      <w:numFmt w:val="lowerRoman"/>
      <w:lvlText w:val="%9."/>
      <w:lvlJc w:val="right"/>
      <w:pPr>
        <w:ind w:left="44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F7"/>
    <w:rsid w:val="00023B47"/>
    <w:rsid w:val="00032745"/>
    <w:rsid w:val="000B51FE"/>
    <w:rsid w:val="000D12FF"/>
    <w:rsid w:val="00102BF0"/>
    <w:rsid w:val="001048E4"/>
    <w:rsid w:val="00200DBB"/>
    <w:rsid w:val="002038C9"/>
    <w:rsid w:val="00206AE0"/>
    <w:rsid w:val="002676AC"/>
    <w:rsid w:val="002801BA"/>
    <w:rsid w:val="002D0C44"/>
    <w:rsid w:val="00356A8E"/>
    <w:rsid w:val="003705BE"/>
    <w:rsid w:val="00374B02"/>
    <w:rsid w:val="003E76FA"/>
    <w:rsid w:val="003F3F0F"/>
    <w:rsid w:val="0042203F"/>
    <w:rsid w:val="00456FBF"/>
    <w:rsid w:val="00480A95"/>
    <w:rsid w:val="004936D9"/>
    <w:rsid w:val="004F1F74"/>
    <w:rsid w:val="005B347D"/>
    <w:rsid w:val="005C12E0"/>
    <w:rsid w:val="005C2C8E"/>
    <w:rsid w:val="005F0764"/>
    <w:rsid w:val="00612521"/>
    <w:rsid w:val="00635176"/>
    <w:rsid w:val="00642CE4"/>
    <w:rsid w:val="00644603"/>
    <w:rsid w:val="00761373"/>
    <w:rsid w:val="00772770"/>
    <w:rsid w:val="0078649A"/>
    <w:rsid w:val="00797A25"/>
    <w:rsid w:val="007A3DCA"/>
    <w:rsid w:val="007D035E"/>
    <w:rsid w:val="007D7D94"/>
    <w:rsid w:val="007E2C5D"/>
    <w:rsid w:val="007E68C6"/>
    <w:rsid w:val="008176AE"/>
    <w:rsid w:val="008409F7"/>
    <w:rsid w:val="00854F78"/>
    <w:rsid w:val="00866F26"/>
    <w:rsid w:val="00995ECA"/>
    <w:rsid w:val="009E6BEF"/>
    <w:rsid w:val="00A27D34"/>
    <w:rsid w:val="00A660B6"/>
    <w:rsid w:val="00A84163"/>
    <w:rsid w:val="00AA05B7"/>
    <w:rsid w:val="00AF5DF6"/>
    <w:rsid w:val="00B3499A"/>
    <w:rsid w:val="00B60808"/>
    <w:rsid w:val="00B85779"/>
    <w:rsid w:val="00B866A1"/>
    <w:rsid w:val="00BD250E"/>
    <w:rsid w:val="00C1342A"/>
    <w:rsid w:val="00C23F62"/>
    <w:rsid w:val="00C9555E"/>
    <w:rsid w:val="00D64401"/>
    <w:rsid w:val="00D66D3A"/>
    <w:rsid w:val="00D95FAB"/>
    <w:rsid w:val="00E32B6D"/>
    <w:rsid w:val="00E55804"/>
    <w:rsid w:val="00E7066D"/>
    <w:rsid w:val="00E83F0C"/>
    <w:rsid w:val="00EB7260"/>
    <w:rsid w:val="00EC5F12"/>
    <w:rsid w:val="00F5664A"/>
    <w:rsid w:val="00F57808"/>
    <w:rsid w:val="00F66229"/>
    <w:rsid w:val="00F92D36"/>
    <w:rsid w:val="00F94B4B"/>
    <w:rsid w:val="359E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7CA702-DB30-4749-8B66-AAE63EAC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B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Lenovo</cp:lastModifiedBy>
  <cp:revision>2</cp:revision>
  <cp:lastPrinted>2026-05-15T07:35:00Z</cp:lastPrinted>
  <dcterms:created xsi:type="dcterms:W3CDTF">2026-06-05T01:15:00Z</dcterms:created>
  <dcterms:modified xsi:type="dcterms:W3CDTF">2026-06-05T01:15:00Z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eyJoZGlkIjoiOWE4NWNjY2ZhNjA1ZGI3YTBhMzljMmI5MTZiN2ZjZjkiLCJ1c2VySWQiOiIzNTk3MjY4NjYifQ==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5D127CC2D5A94E398C18F310DCDA2849_13</vt:lpwstr>
  </property>
</Properties>
</file>