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8E" w:rsidRDefault="005C2C8E" w:rsidP="0078649A">
      <w:pPr>
        <w:widowControl/>
        <w:shd w:val="clear" w:color="auto" w:fill="FFFFFF"/>
        <w:adjustRightInd w:val="0"/>
        <w:snapToGrid w:val="0"/>
        <w:spacing w:line="560" w:lineRule="exact"/>
        <w:jc w:val="center"/>
        <w:rPr>
          <w:rFonts w:ascii="宋体" w:eastAsia="宋体" w:hAnsi="宋体" w:cs="Courier New"/>
          <w:b/>
          <w:bCs/>
          <w:color w:val="000000" w:themeColor="text1"/>
          <w:kern w:val="0"/>
          <w:sz w:val="44"/>
          <w:szCs w:val="44"/>
        </w:rPr>
      </w:pPr>
      <w:r>
        <w:rPr>
          <w:rFonts w:ascii="宋体" w:eastAsia="宋体" w:hAnsi="宋体" w:cs="Courier New"/>
          <w:b/>
          <w:bCs/>
          <w:color w:val="000000" w:themeColor="text1"/>
          <w:kern w:val="0"/>
          <w:sz w:val="44"/>
          <w:szCs w:val="44"/>
        </w:rPr>
        <w:t>上海电力大学实验室</w:t>
      </w:r>
      <w:r w:rsidR="00E42355" w:rsidRPr="00E42355">
        <w:rPr>
          <w:rFonts w:ascii="宋体" w:eastAsia="宋体" w:hAnsi="宋体" w:cs="Courier New" w:hint="eastAsia"/>
          <w:b/>
          <w:bCs/>
          <w:color w:val="000000" w:themeColor="text1"/>
          <w:kern w:val="0"/>
          <w:sz w:val="44"/>
          <w:szCs w:val="44"/>
        </w:rPr>
        <w:t>气体钢瓶安全</w:t>
      </w:r>
      <w:r>
        <w:rPr>
          <w:rFonts w:ascii="宋体" w:eastAsia="宋体" w:hAnsi="宋体" w:cs="Courier New"/>
          <w:b/>
          <w:bCs/>
          <w:color w:val="000000" w:themeColor="text1"/>
          <w:kern w:val="0"/>
          <w:sz w:val="44"/>
          <w:szCs w:val="44"/>
        </w:rPr>
        <w:t>管理办法</w:t>
      </w:r>
    </w:p>
    <w:p w:rsidR="00116873" w:rsidRDefault="00116873" w:rsidP="0078649A">
      <w:pPr>
        <w:widowControl/>
        <w:shd w:val="clear" w:color="auto" w:fill="FFFFFF"/>
        <w:adjustRightInd w:val="0"/>
        <w:snapToGrid w:val="0"/>
        <w:spacing w:line="560" w:lineRule="exact"/>
        <w:jc w:val="center"/>
        <w:rPr>
          <w:rFonts w:ascii="宋体" w:eastAsia="宋体" w:hAnsi="宋体" w:cs="Courier New"/>
          <w:b/>
          <w:bCs/>
          <w:color w:val="000000" w:themeColor="text1"/>
          <w:kern w:val="0"/>
          <w:sz w:val="44"/>
          <w:szCs w:val="44"/>
        </w:rPr>
      </w:pPr>
    </w:p>
    <w:p w:rsidR="00116873" w:rsidRDefault="00116873" w:rsidP="00116873">
      <w:pPr>
        <w:spacing w:line="560" w:lineRule="exact"/>
        <w:jc w:val="center"/>
        <w:rPr>
          <w:sz w:val="28"/>
          <w:szCs w:val="28"/>
        </w:rPr>
      </w:pPr>
      <w:r>
        <w:rPr>
          <w:rFonts w:ascii="仿宋_GB2312" w:eastAsia="仿宋_GB2312" w:hint="eastAsia"/>
          <w:sz w:val="32"/>
          <w:szCs w:val="32"/>
        </w:rPr>
        <w:t>上电资〔</w:t>
      </w:r>
      <w:r>
        <w:rPr>
          <w:rFonts w:ascii="仿宋_GB2312" w:eastAsia="仿宋_GB2312"/>
          <w:sz w:val="32"/>
          <w:szCs w:val="32"/>
        </w:rPr>
        <w:t>2026</w:t>
      </w: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号</w:t>
      </w:r>
    </w:p>
    <w:p w:rsidR="00C82860" w:rsidRPr="00674165" w:rsidRDefault="00C82860" w:rsidP="00C82860">
      <w:pPr>
        <w:spacing w:beforeLines="50" w:before="156" w:afterLines="50" w:after="156" w:line="360" w:lineRule="auto"/>
        <w:jc w:val="center"/>
        <w:rPr>
          <w:rFonts w:ascii="黑体" w:eastAsia="黑体" w:hAnsi="黑体" w:cs="Calibri"/>
          <w:sz w:val="32"/>
          <w:szCs w:val="32"/>
        </w:rPr>
      </w:pPr>
      <w:r w:rsidRPr="00674165">
        <w:rPr>
          <w:rFonts w:ascii="黑体" w:eastAsia="黑体" w:hAnsi="黑体" w:cs="Calibri" w:hint="eastAsia"/>
          <w:sz w:val="32"/>
          <w:szCs w:val="32"/>
        </w:rPr>
        <w:t>第一章 总则</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第一条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为加强实验室气体钢瓶的安全管理，规范实验气体钢瓶的使用，预防安全事故发生，确保教学、科研工作的顺利进行，根据《中华人民共和国特种设备安全法》等相关法律法规和我校实际</w:t>
      </w:r>
      <w:r w:rsidR="004A1AB3">
        <w:rPr>
          <w:rFonts w:ascii="仿宋_GB2312" w:eastAsia="仿宋_GB2312" w:hAnsi="Calibri" w:cs="Calibri" w:hint="eastAsia"/>
          <w:sz w:val="32"/>
          <w:szCs w:val="32"/>
        </w:rPr>
        <w:t>情况</w:t>
      </w:r>
      <w:r w:rsidRPr="00C82860">
        <w:rPr>
          <w:rFonts w:ascii="仿宋_GB2312" w:eastAsia="仿宋_GB2312" w:hAnsi="Calibri" w:cs="Calibri" w:hint="eastAsia"/>
          <w:sz w:val="32"/>
          <w:szCs w:val="32"/>
        </w:rPr>
        <w:t>，特制定本</w:t>
      </w:r>
      <w:r w:rsidR="004A1AB3">
        <w:rPr>
          <w:rFonts w:ascii="仿宋_GB2312" w:eastAsia="仿宋_GB2312" w:hAnsi="Calibri" w:cs="Calibri" w:hint="eastAsia"/>
          <w:sz w:val="32"/>
          <w:szCs w:val="32"/>
        </w:rPr>
        <w:t>管理</w:t>
      </w:r>
      <w:r w:rsidRPr="00C82860">
        <w:rPr>
          <w:rFonts w:ascii="仿宋_GB2312" w:eastAsia="仿宋_GB2312" w:hAnsi="Calibri" w:cs="Calibri" w:hint="eastAsia"/>
          <w:sz w:val="32"/>
          <w:szCs w:val="32"/>
        </w:rPr>
        <w:t>办法。</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第二条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本</w:t>
      </w:r>
      <w:r w:rsidR="004A1AB3">
        <w:rPr>
          <w:rFonts w:ascii="仿宋_GB2312" w:eastAsia="仿宋_GB2312" w:hAnsi="Calibri" w:cs="Calibri" w:hint="eastAsia"/>
          <w:sz w:val="32"/>
          <w:szCs w:val="32"/>
        </w:rPr>
        <w:t>管理</w:t>
      </w:r>
      <w:r w:rsidRPr="00C82860">
        <w:rPr>
          <w:rFonts w:ascii="仿宋_GB2312" w:eastAsia="仿宋_GB2312" w:hAnsi="Calibri" w:cs="Calibri" w:hint="eastAsia"/>
          <w:sz w:val="32"/>
          <w:szCs w:val="32"/>
        </w:rPr>
        <w:t>办法所指气体钢瓶是正常环境温度-40℃～60℃下使用的公称工作压力大于或等于0.2MPa表压且压力与容积的乘积大于或等于1.0Mpa·L的盛装气体、液化气体和标准沸点等于或低于60℃的液体的气瓶（不含仅在灭火时承受压力、储存时不承受压力的灭火用气瓶）。</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第三条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本</w:t>
      </w:r>
      <w:r w:rsidR="004A1AB3">
        <w:rPr>
          <w:rFonts w:ascii="仿宋_GB2312" w:eastAsia="仿宋_GB2312" w:hAnsi="Calibri" w:cs="Calibri" w:hint="eastAsia"/>
          <w:sz w:val="32"/>
          <w:szCs w:val="32"/>
        </w:rPr>
        <w:t>管理</w:t>
      </w:r>
      <w:r w:rsidRPr="00C82860">
        <w:rPr>
          <w:rFonts w:ascii="仿宋_GB2312" w:eastAsia="仿宋_GB2312" w:hAnsi="Calibri" w:cs="Calibri" w:hint="eastAsia"/>
          <w:sz w:val="32"/>
          <w:szCs w:val="32"/>
        </w:rPr>
        <w:t>办法适用于全校范围内所有涉及气体钢瓶的教学和科研活动的安全监督与管理，包括气体钢瓶的申请、采购、运输、储存、使用及处置等全过程管理。</w:t>
      </w:r>
    </w:p>
    <w:p w:rsidR="00C82860" w:rsidRPr="00674165" w:rsidRDefault="00C82860" w:rsidP="00C82860">
      <w:pPr>
        <w:spacing w:beforeLines="50" w:before="156" w:afterLines="50" w:after="156" w:line="360" w:lineRule="auto"/>
        <w:jc w:val="center"/>
        <w:rPr>
          <w:rFonts w:ascii="黑体" w:eastAsia="黑体" w:hAnsi="黑体" w:cs="Calibri"/>
          <w:sz w:val="32"/>
          <w:szCs w:val="32"/>
        </w:rPr>
      </w:pPr>
      <w:r w:rsidRPr="00674165">
        <w:rPr>
          <w:rFonts w:ascii="黑体" w:eastAsia="黑体" w:hAnsi="黑体" w:cs="Calibri" w:hint="eastAsia"/>
          <w:sz w:val="32"/>
          <w:szCs w:val="32"/>
        </w:rPr>
        <w:t>第二章 气体钢瓶的采购</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第四条</w:t>
      </w:r>
      <w:r w:rsidR="004C4160">
        <w:rPr>
          <w:rFonts w:ascii="仿宋_GB2312" w:eastAsia="仿宋_GB2312" w:hAnsi="Calibri" w:cs="Calibri" w:hint="eastAsia"/>
          <w:b/>
          <w:sz w:val="32"/>
          <w:szCs w:val="32"/>
        </w:rPr>
        <w:t xml:space="preserve"> </w:t>
      </w:r>
      <w:r w:rsidR="004C4160" w:rsidRPr="006A1B62">
        <w:rPr>
          <w:rFonts w:ascii="仿宋_GB2312" w:eastAsia="仿宋_GB2312" w:hAnsi="Calibri" w:cs="Calibri" w:hint="eastAsia"/>
          <w:sz w:val="32"/>
          <w:szCs w:val="32"/>
        </w:rPr>
        <w:t>学校通过</w:t>
      </w:r>
      <w:r w:rsidR="004C4160">
        <w:rPr>
          <w:rFonts w:ascii="仿宋_GB2312" w:eastAsia="仿宋_GB2312" w:hAnsi="Calibri" w:cs="Calibri" w:hint="eastAsia"/>
          <w:sz w:val="32"/>
          <w:szCs w:val="32"/>
        </w:rPr>
        <w:t>院部推荐</w:t>
      </w:r>
      <w:r w:rsidR="004C4160" w:rsidRPr="006A1B62">
        <w:rPr>
          <w:rFonts w:ascii="仿宋_GB2312" w:eastAsia="仿宋_GB2312" w:hAnsi="Calibri" w:cs="Calibri" w:hint="eastAsia"/>
          <w:sz w:val="32"/>
          <w:szCs w:val="32"/>
        </w:rPr>
        <w:t>，</w:t>
      </w:r>
      <w:r w:rsidR="004C4160">
        <w:rPr>
          <w:rFonts w:ascii="仿宋_GB2312" w:eastAsia="仿宋_GB2312" w:hAnsi="Calibri" w:cs="Calibri" w:hint="eastAsia"/>
          <w:sz w:val="32"/>
          <w:szCs w:val="32"/>
        </w:rPr>
        <w:t>再</w:t>
      </w:r>
      <w:r w:rsidR="004C4160" w:rsidRPr="00C82860">
        <w:rPr>
          <w:rFonts w:ascii="仿宋_GB2312" w:eastAsia="仿宋_GB2312" w:hAnsi="Calibri" w:cs="Calibri" w:hint="eastAsia"/>
          <w:sz w:val="32"/>
          <w:szCs w:val="32"/>
        </w:rPr>
        <w:t>根据供应商的供货资质、能力和安全保障等进行综合评估</w:t>
      </w:r>
      <w:r w:rsidR="004C4160">
        <w:rPr>
          <w:rFonts w:ascii="仿宋_GB2312" w:eastAsia="仿宋_GB2312" w:hAnsi="Calibri" w:cs="Calibri" w:hint="eastAsia"/>
          <w:sz w:val="32"/>
          <w:szCs w:val="32"/>
        </w:rPr>
        <w:t>。</w:t>
      </w:r>
      <w:r w:rsidR="004C4160" w:rsidRPr="00C82860">
        <w:rPr>
          <w:rFonts w:ascii="仿宋_GB2312" w:eastAsia="仿宋_GB2312" w:hAnsi="Calibri" w:cs="Calibri" w:hint="eastAsia"/>
          <w:sz w:val="32"/>
          <w:szCs w:val="32"/>
        </w:rPr>
        <w:t>遴选规模、资质、技术标准满足</w:t>
      </w:r>
      <w:r w:rsidR="004C4160" w:rsidRPr="00C82860">
        <w:rPr>
          <w:rFonts w:ascii="仿宋_GB2312" w:eastAsia="仿宋_GB2312" w:hAnsi="Calibri" w:cs="Calibri" w:hint="eastAsia"/>
          <w:sz w:val="32"/>
          <w:szCs w:val="32"/>
        </w:rPr>
        <w:lastRenderedPageBreak/>
        <w:t>要求的气体</w:t>
      </w:r>
      <w:r w:rsidR="004C4160">
        <w:rPr>
          <w:rFonts w:ascii="仿宋_GB2312" w:eastAsia="仿宋_GB2312" w:hAnsi="Calibri" w:cs="Calibri" w:hint="eastAsia"/>
          <w:sz w:val="32"/>
          <w:szCs w:val="32"/>
        </w:rPr>
        <w:t>企业</w:t>
      </w:r>
      <w:r w:rsidR="004C4160" w:rsidRPr="00C82860">
        <w:rPr>
          <w:rFonts w:ascii="仿宋_GB2312" w:eastAsia="仿宋_GB2312" w:hAnsi="Calibri" w:cs="Calibri" w:hint="eastAsia"/>
          <w:sz w:val="32"/>
          <w:szCs w:val="32"/>
        </w:rPr>
        <w:t>，作为我校实验室气体钢瓶的入围供应商。</w:t>
      </w:r>
      <w:r w:rsidRPr="00C82860">
        <w:rPr>
          <w:rFonts w:ascii="仿宋_GB2312" w:eastAsia="仿宋_GB2312" w:hAnsi="Calibri" w:cs="Calibri" w:hint="eastAsia"/>
          <w:sz w:val="32"/>
          <w:szCs w:val="32"/>
        </w:rPr>
        <w:t>各实验室气体钢瓶原则上从</w:t>
      </w:r>
      <w:r w:rsidR="004C4160">
        <w:rPr>
          <w:rFonts w:ascii="仿宋_GB2312" w:eastAsia="仿宋_GB2312" w:hAnsi="Calibri" w:cs="Calibri" w:hint="eastAsia"/>
          <w:sz w:val="32"/>
          <w:szCs w:val="32"/>
        </w:rPr>
        <w:t>入围</w:t>
      </w:r>
      <w:r w:rsidRPr="00C82860">
        <w:rPr>
          <w:rFonts w:ascii="仿宋_GB2312" w:eastAsia="仿宋_GB2312" w:hAnsi="Calibri" w:cs="Calibri" w:hint="eastAsia"/>
          <w:sz w:val="32"/>
          <w:szCs w:val="32"/>
        </w:rPr>
        <w:t>供应商处租用。如因特殊情况需从其他供应商采购时，需先对供应商资质进行审核，将其相关资质文件送至实验室与资产管理处备案</w:t>
      </w:r>
      <w:r w:rsidR="004C4160">
        <w:rPr>
          <w:rFonts w:ascii="仿宋_GB2312" w:eastAsia="仿宋_GB2312" w:hAnsi="Calibri" w:cs="Calibri" w:hint="eastAsia"/>
          <w:sz w:val="32"/>
          <w:szCs w:val="32"/>
        </w:rPr>
        <w:t>，经审核同意后方可购买</w:t>
      </w:r>
      <w:r w:rsidRPr="00C82860">
        <w:rPr>
          <w:rFonts w:ascii="仿宋_GB2312" w:eastAsia="仿宋_GB2312" w:hAnsi="Calibri" w:cs="Calibri" w:hint="eastAsia"/>
          <w:sz w:val="32"/>
          <w:szCs w:val="32"/>
        </w:rPr>
        <w:t>。</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第五条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申购人在接收气体钢瓶时，应进行验收，对存在如下安全隐患的，应拒绝接收，并及时报告实验室与资产管理处。</w:t>
      </w:r>
    </w:p>
    <w:p w:rsidR="00C82860" w:rsidRPr="00C82860" w:rsidRDefault="00C82860" w:rsidP="00C82860">
      <w:pPr>
        <w:pStyle w:val="a8"/>
        <w:widowControl/>
        <w:numPr>
          <w:ilvl w:val="0"/>
          <w:numId w:val="2"/>
        </w:numPr>
        <w:spacing w:beforeLines="50" w:before="156" w:beforeAutospacing="0" w:afterLines="50" w:after="156" w:afterAutospacing="0" w:line="360" w:lineRule="auto"/>
        <w:ind w:left="839"/>
        <w:rPr>
          <w:rFonts w:ascii="仿宋_GB2312" w:eastAsia="仿宋_GB2312" w:hAnsi="Calibri" w:cs="Calibri"/>
          <w:kern w:val="2"/>
          <w:sz w:val="32"/>
          <w:szCs w:val="32"/>
        </w:rPr>
      </w:pPr>
      <w:r w:rsidRPr="00C82860">
        <w:rPr>
          <w:rFonts w:ascii="仿宋_GB2312" w:eastAsia="仿宋_GB2312" w:hAnsi="Calibri" w:cs="Calibri" w:hint="eastAsia"/>
          <w:kern w:val="2"/>
          <w:sz w:val="32"/>
          <w:szCs w:val="32"/>
        </w:rPr>
        <w:t>未粘贴符合安全技术规范及国家标准规定的警示标签和充装标签的；</w:t>
      </w:r>
    </w:p>
    <w:p w:rsidR="00C82860" w:rsidRPr="00C82860" w:rsidRDefault="00C82860" w:rsidP="00C82860">
      <w:pPr>
        <w:pStyle w:val="a8"/>
        <w:widowControl/>
        <w:numPr>
          <w:ilvl w:val="0"/>
          <w:numId w:val="2"/>
        </w:numPr>
        <w:spacing w:beforeLines="50" w:before="156" w:beforeAutospacing="0" w:afterLines="50" w:after="156" w:afterAutospacing="0" w:line="360" w:lineRule="auto"/>
        <w:ind w:left="839"/>
        <w:rPr>
          <w:rFonts w:ascii="仿宋_GB2312" w:eastAsia="仿宋_GB2312" w:hAnsi="Calibri" w:cs="Calibri"/>
          <w:kern w:val="2"/>
          <w:sz w:val="32"/>
          <w:szCs w:val="32"/>
        </w:rPr>
      </w:pPr>
      <w:r w:rsidRPr="00C82860">
        <w:rPr>
          <w:rFonts w:ascii="仿宋_GB2312" w:eastAsia="仿宋_GB2312" w:hAnsi="Calibri" w:cs="Calibri" w:hint="eastAsia"/>
          <w:kern w:val="2"/>
          <w:sz w:val="32"/>
          <w:szCs w:val="32"/>
        </w:rPr>
        <w:t>气瓶漆色、充装气品名字样不清的；</w:t>
      </w:r>
    </w:p>
    <w:p w:rsidR="00C82860" w:rsidRPr="00C82860" w:rsidRDefault="00C82860" w:rsidP="00C82860">
      <w:pPr>
        <w:pStyle w:val="a8"/>
        <w:widowControl/>
        <w:numPr>
          <w:ilvl w:val="0"/>
          <w:numId w:val="2"/>
        </w:numPr>
        <w:spacing w:beforeLines="50" w:before="156" w:beforeAutospacing="0" w:afterLines="50" w:after="156" w:afterAutospacing="0" w:line="360" w:lineRule="auto"/>
        <w:ind w:left="839"/>
        <w:rPr>
          <w:rFonts w:ascii="仿宋_GB2312" w:eastAsia="仿宋_GB2312" w:hAnsi="Calibri" w:cs="Calibri"/>
          <w:kern w:val="2"/>
          <w:sz w:val="32"/>
          <w:szCs w:val="32"/>
        </w:rPr>
      </w:pPr>
      <w:r w:rsidRPr="00C82860">
        <w:rPr>
          <w:rFonts w:ascii="仿宋_GB2312" w:eastAsia="仿宋_GB2312" w:hAnsi="Calibri" w:cs="Calibri" w:hint="eastAsia"/>
          <w:kern w:val="2"/>
          <w:sz w:val="32"/>
          <w:szCs w:val="32"/>
        </w:rPr>
        <w:t>气瓶安全附件不全的（如：没有气瓶安全帽、防震圈）；</w:t>
      </w:r>
    </w:p>
    <w:p w:rsidR="00C82860" w:rsidRPr="00C82860" w:rsidRDefault="00C82860" w:rsidP="00C82860">
      <w:pPr>
        <w:pStyle w:val="a8"/>
        <w:widowControl/>
        <w:numPr>
          <w:ilvl w:val="0"/>
          <w:numId w:val="2"/>
        </w:numPr>
        <w:spacing w:beforeLines="50" w:before="156" w:beforeAutospacing="0" w:afterLines="50" w:after="156" w:afterAutospacing="0" w:line="360" w:lineRule="auto"/>
        <w:ind w:left="839"/>
        <w:rPr>
          <w:rFonts w:ascii="仿宋_GB2312" w:eastAsia="仿宋_GB2312" w:hAnsi="Calibri" w:cs="Calibri"/>
          <w:kern w:val="2"/>
          <w:sz w:val="32"/>
          <w:szCs w:val="32"/>
        </w:rPr>
      </w:pPr>
      <w:r w:rsidRPr="00C82860">
        <w:rPr>
          <w:rFonts w:ascii="仿宋_GB2312" w:eastAsia="仿宋_GB2312" w:hAnsi="Calibri" w:cs="Calibri" w:hint="eastAsia"/>
          <w:kern w:val="2"/>
          <w:sz w:val="32"/>
          <w:szCs w:val="32"/>
        </w:rPr>
        <w:t>气瓶瓶体沾有油污、有缺陷或严重腐蚀的；</w:t>
      </w:r>
    </w:p>
    <w:p w:rsidR="00C82860" w:rsidRPr="00C82860" w:rsidRDefault="00C82860" w:rsidP="00C82860">
      <w:pPr>
        <w:pStyle w:val="a8"/>
        <w:widowControl/>
        <w:numPr>
          <w:ilvl w:val="0"/>
          <w:numId w:val="2"/>
        </w:numPr>
        <w:spacing w:beforeLines="50" w:before="156" w:beforeAutospacing="0" w:afterLines="50" w:after="156" w:afterAutospacing="0" w:line="360" w:lineRule="auto"/>
        <w:ind w:left="839"/>
        <w:rPr>
          <w:rFonts w:ascii="仿宋_GB2312" w:eastAsia="仿宋_GB2312" w:hAnsi="Calibri" w:cs="Calibri"/>
          <w:kern w:val="2"/>
          <w:sz w:val="32"/>
          <w:szCs w:val="32"/>
        </w:rPr>
      </w:pPr>
      <w:r w:rsidRPr="00C82860">
        <w:rPr>
          <w:rFonts w:ascii="仿宋_GB2312" w:eastAsia="仿宋_GB2312" w:hAnsi="Calibri" w:cs="Calibri" w:hint="eastAsia"/>
          <w:kern w:val="2"/>
          <w:sz w:val="32"/>
          <w:szCs w:val="32"/>
        </w:rPr>
        <w:t>充装液化气体的气瓶，充装过量的；</w:t>
      </w:r>
    </w:p>
    <w:p w:rsidR="00C82860" w:rsidRPr="00C82860" w:rsidRDefault="00C82860" w:rsidP="00C82860">
      <w:pPr>
        <w:pStyle w:val="a8"/>
        <w:widowControl/>
        <w:numPr>
          <w:ilvl w:val="0"/>
          <w:numId w:val="2"/>
        </w:numPr>
        <w:spacing w:beforeLines="50" w:before="156" w:beforeAutospacing="0" w:afterLines="50" w:after="156" w:afterAutospacing="0" w:line="360" w:lineRule="auto"/>
        <w:ind w:left="839"/>
        <w:rPr>
          <w:rFonts w:ascii="仿宋_GB2312" w:eastAsia="仿宋_GB2312" w:hAnsi="Calibri" w:cs="Calibri"/>
          <w:kern w:val="2"/>
          <w:sz w:val="32"/>
          <w:szCs w:val="32"/>
        </w:rPr>
      </w:pPr>
      <w:r w:rsidRPr="00C82860">
        <w:rPr>
          <w:rFonts w:ascii="仿宋_GB2312" w:eastAsia="仿宋_GB2312" w:hAnsi="Calibri" w:cs="Calibri" w:hint="eastAsia"/>
          <w:kern w:val="2"/>
          <w:sz w:val="32"/>
          <w:szCs w:val="32"/>
        </w:rPr>
        <w:t>气瓶钢印标记不全或不能识别的；</w:t>
      </w:r>
    </w:p>
    <w:p w:rsidR="00C82860" w:rsidRPr="00C82860" w:rsidRDefault="00C82860" w:rsidP="00C82860">
      <w:pPr>
        <w:pStyle w:val="a8"/>
        <w:widowControl/>
        <w:numPr>
          <w:ilvl w:val="0"/>
          <w:numId w:val="2"/>
        </w:numPr>
        <w:spacing w:beforeLines="50" w:before="156" w:beforeAutospacing="0" w:afterLines="50" w:after="156" w:afterAutospacing="0" w:line="360" w:lineRule="auto"/>
        <w:ind w:left="839"/>
        <w:rPr>
          <w:rFonts w:ascii="仿宋_GB2312" w:eastAsia="仿宋_GB2312" w:hAnsi="Calibri" w:cs="Calibri"/>
          <w:kern w:val="2"/>
          <w:sz w:val="32"/>
          <w:szCs w:val="32"/>
        </w:rPr>
      </w:pPr>
      <w:r w:rsidRPr="00C82860">
        <w:rPr>
          <w:rFonts w:ascii="仿宋_GB2312" w:eastAsia="仿宋_GB2312" w:hAnsi="Calibri" w:cs="Calibri" w:hint="eastAsia"/>
          <w:kern w:val="2"/>
          <w:sz w:val="32"/>
          <w:szCs w:val="32"/>
        </w:rPr>
        <w:t>未实施定期技术检验的。</w:t>
      </w:r>
    </w:p>
    <w:p w:rsidR="00C82860" w:rsidRPr="00674165" w:rsidRDefault="00C82860" w:rsidP="00C82860">
      <w:pPr>
        <w:numPr>
          <w:ilvl w:val="0"/>
          <w:numId w:val="3"/>
        </w:numPr>
        <w:spacing w:beforeLines="50" w:before="156" w:afterLines="50" w:after="156" w:line="360" w:lineRule="auto"/>
        <w:jc w:val="center"/>
        <w:rPr>
          <w:rFonts w:ascii="黑体" w:eastAsia="黑体" w:hAnsi="黑体" w:cs="Calibri"/>
          <w:sz w:val="32"/>
          <w:szCs w:val="32"/>
        </w:rPr>
      </w:pPr>
      <w:r w:rsidRPr="00674165">
        <w:rPr>
          <w:rFonts w:ascii="黑体" w:eastAsia="黑体" w:hAnsi="黑体" w:cs="Calibri" w:hint="eastAsia"/>
          <w:sz w:val="32"/>
          <w:szCs w:val="32"/>
        </w:rPr>
        <w:t>气体钢瓶的搬运</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第六条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气体钢瓶在搬运过程中必须轻装轻卸，严禁摔掷、敲击、碰撞、滚滑或剧烈震动等。</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lastRenderedPageBreak/>
        <w:t>第七条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搬动气体钢瓶时，应使用钢瓶推车，严禁手抓开关总阀移动，严禁将钢瓶阀对准人身，应装上防震圈、旋紧安全帽，以保护开关阀，防止其意外转动以及减少碰撞。近距离（5m内）移动气瓶，应用手扶瓶肩转动瓶底，并且要使用手套。特殊情况下可采用适当的安全方式搬运。</w:t>
      </w:r>
    </w:p>
    <w:p w:rsidR="00C82860" w:rsidRPr="00674165" w:rsidRDefault="00C82860" w:rsidP="00C82860">
      <w:pPr>
        <w:numPr>
          <w:ilvl w:val="0"/>
          <w:numId w:val="4"/>
        </w:numPr>
        <w:spacing w:beforeLines="50" w:before="156" w:afterLines="50" w:after="156" w:line="360" w:lineRule="auto"/>
        <w:ind w:firstLineChars="200" w:firstLine="640"/>
        <w:jc w:val="center"/>
        <w:rPr>
          <w:rFonts w:ascii="黑体" w:eastAsia="黑体" w:hAnsi="黑体" w:cs="Calibri"/>
          <w:sz w:val="32"/>
          <w:szCs w:val="32"/>
        </w:rPr>
      </w:pPr>
      <w:r w:rsidRPr="00674165">
        <w:rPr>
          <w:rFonts w:ascii="黑体" w:eastAsia="黑体" w:hAnsi="黑体" w:cs="Calibri" w:hint="eastAsia"/>
          <w:sz w:val="32"/>
          <w:szCs w:val="32"/>
        </w:rPr>
        <w:t>气体钢瓶的存放</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第八条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钢瓶必须做好标识（气体种类、纯度、采购日期、初始压力，混合气体需额外注明气体组成），分类存放。使用人员要严格按照气体性质分类、分处存放，存放地点应通风、干燥、无腐蚀，避免阳光直射，严禁烟火和其他热源。存储可燃、爆炸性气体气瓶的存储场所内照明设备必须防爆，电器开关和熔断器都应设置在存储场所外，同时应设避雷装置。</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第九条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严禁将相互接触后可引起燃烧、爆炸的可燃性气体钢瓶和助燃性气体钢瓶混放或存放在一起。可燃性气体钢瓶和助燃性气体钢瓶周围不得有可燃物品、油渍及其他杂物。严禁乙炔气体钢瓶与氧气气体钢瓶、氯气气体钢瓶及易燃物品同室储存。氢气气体钢瓶与氧化性气体钢瓶、其他易燃易爆气体钢瓶以及可燃性物质的间距不应小于8米。</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第十条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实验室严禁过量存放气体钢瓶。正常情况下每间实</w:t>
      </w:r>
      <w:r w:rsidRPr="00C82860">
        <w:rPr>
          <w:rFonts w:ascii="仿宋_GB2312" w:eastAsia="仿宋_GB2312" w:hAnsi="Calibri" w:cs="Calibri" w:hint="eastAsia"/>
          <w:sz w:val="32"/>
          <w:szCs w:val="32"/>
        </w:rPr>
        <w:lastRenderedPageBreak/>
        <w:t>验室存放的氧气和易燃气体各不宜超过一瓶或两天的用量，其他气体钢瓶的存放应控制在最小需求量。</w:t>
      </w:r>
    </w:p>
    <w:p w:rsidR="00C82860" w:rsidRPr="00C82860" w:rsidRDefault="00C82860" w:rsidP="00C82860">
      <w:pPr>
        <w:spacing w:beforeLines="50" w:before="156" w:afterLines="50" w:after="156" w:line="360" w:lineRule="auto"/>
        <w:ind w:firstLineChars="200" w:firstLine="640"/>
        <w:rPr>
          <w:rFonts w:ascii="仿宋_GB2312" w:eastAsia="仿宋_GB2312" w:hAnsi="Calibri" w:cs="Calibri"/>
          <w:sz w:val="32"/>
          <w:szCs w:val="32"/>
        </w:rPr>
      </w:pPr>
      <w:r w:rsidRPr="00C82860">
        <w:rPr>
          <w:rFonts w:ascii="仿宋_GB2312" w:eastAsia="仿宋_GB2312" w:hAnsi="Calibri" w:cs="Calibri" w:hint="eastAsia"/>
          <w:sz w:val="32"/>
          <w:szCs w:val="32"/>
        </w:rPr>
        <w:t> </w:t>
      </w:r>
      <w:r w:rsidRPr="00706897">
        <w:rPr>
          <w:rFonts w:ascii="仿宋_GB2312" w:eastAsia="仿宋_GB2312" w:hAnsi="Calibri" w:cs="Calibri" w:hint="eastAsia"/>
          <w:b/>
          <w:sz w:val="32"/>
          <w:szCs w:val="32"/>
        </w:rPr>
        <w:t>第十一条</w:t>
      </w:r>
      <w:r w:rsidR="00ED66A1">
        <w:rPr>
          <w:rFonts w:ascii="仿宋_GB2312" w:eastAsia="仿宋_GB2312" w:hAnsi="Calibri" w:cs="Calibri"/>
          <w:b/>
          <w:sz w:val="32"/>
          <w:szCs w:val="32"/>
        </w:rPr>
        <w:t xml:space="preserve"> </w:t>
      </w:r>
      <w:r w:rsidRPr="00C82860">
        <w:rPr>
          <w:rFonts w:ascii="仿宋_GB2312" w:eastAsia="仿宋_GB2312" w:hAnsi="Calibri" w:cs="Calibri"/>
          <w:sz w:val="32"/>
          <w:szCs w:val="32"/>
        </w:rPr>
        <w:t>危险气体</w:t>
      </w:r>
      <w:r w:rsidRPr="00C82860">
        <w:rPr>
          <w:rFonts w:ascii="仿宋_GB2312" w:eastAsia="仿宋_GB2312" w:hAnsi="Calibri" w:cs="Calibri" w:hint="eastAsia"/>
          <w:sz w:val="32"/>
          <w:szCs w:val="32"/>
        </w:rPr>
        <w:t>钢瓶（含有毒气体钢瓶）</w:t>
      </w:r>
      <w:r w:rsidRPr="00C82860">
        <w:rPr>
          <w:rFonts w:ascii="仿宋_GB2312" w:eastAsia="仿宋_GB2312" w:hAnsi="Calibri" w:cs="Calibri"/>
          <w:sz w:val="32"/>
          <w:szCs w:val="32"/>
        </w:rPr>
        <w:t>应</w:t>
      </w:r>
      <w:r w:rsidRPr="00C82860">
        <w:rPr>
          <w:rFonts w:ascii="仿宋_GB2312" w:eastAsia="仿宋_GB2312" w:hAnsi="Calibri" w:cs="Calibri" w:hint="eastAsia"/>
          <w:sz w:val="32"/>
          <w:szCs w:val="32"/>
        </w:rPr>
        <w:t>放置于具有</w:t>
      </w:r>
      <w:r w:rsidRPr="00C82860">
        <w:rPr>
          <w:rFonts w:ascii="仿宋_GB2312" w:eastAsia="仿宋_GB2312" w:hAnsi="Calibri" w:cs="Calibri"/>
          <w:sz w:val="32"/>
          <w:szCs w:val="32"/>
        </w:rPr>
        <w:t>常时排风且带监测报警装置的气瓶柜</w:t>
      </w:r>
      <w:r w:rsidRPr="00C82860">
        <w:rPr>
          <w:rFonts w:ascii="仿宋_GB2312" w:eastAsia="仿宋_GB2312" w:hAnsi="Calibri" w:cs="Calibri" w:hint="eastAsia"/>
          <w:sz w:val="32"/>
          <w:szCs w:val="32"/>
        </w:rPr>
        <w:t>。大量惰性气体或液氮、二氧化碳存放在较小密闭空间内时需加装氧气含量报警器，检测报警装置需定期检测保证有效。</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第十二条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钢瓶必须固定放置。钢瓶应靠墙直立，配置气瓶柜或气体钢瓶防倒链、气瓶架。固定或扎牢应采用阻燃的材料，同时应保护气体钢瓶的底部免受腐蚀。禁止将气体钢瓶放置在可能导电的地方。气体钢瓶（包括空瓶）存储时应将瓶阀关闭，卸下减压器，戴上并旋紧气瓶帽，整齐排放。空瓶与实瓶应分开存放，并有明显标志。</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第十三条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气体钢瓶周围不得堆放易燃、易爆物品，应当避免暴晒、远离热源、腐蚀性材料和强烈震动，与明火的距离应大于10米（确难达到时，应采取有效隔离等防范措施）。</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第十四条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严禁在走廊和公共场所存放气体钢瓶，以防紧急疏散时受阻及其它意外事件的发生。独立的气体钢瓶室，应通风良好、不混放、有监控、管路有编号、去向明确；单独用于存放气体钢瓶的房间、气瓶柜需上锁，并专人管理和记录。</w:t>
      </w:r>
    </w:p>
    <w:p w:rsidR="00C82860" w:rsidRPr="00674165" w:rsidRDefault="00C82860" w:rsidP="00C82860">
      <w:pPr>
        <w:spacing w:beforeLines="50" w:before="156" w:afterLines="50" w:after="156" w:line="360" w:lineRule="auto"/>
        <w:ind w:firstLineChars="200" w:firstLine="640"/>
        <w:jc w:val="center"/>
        <w:rPr>
          <w:rFonts w:ascii="黑体" w:eastAsia="黑体" w:hAnsi="黑体" w:cs="Calibri"/>
          <w:sz w:val="32"/>
          <w:szCs w:val="32"/>
        </w:rPr>
      </w:pPr>
      <w:r w:rsidRPr="00674165">
        <w:rPr>
          <w:rFonts w:ascii="黑体" w:eastAsia="黑体" w:hAnsi="黑体" w:cs="Calibri" w:hint="eastAsia"/>
          <w:sz w:val="32"/>
          <w:szCs w:val="32"/>
        </w:rPr>
        <w:lastRenderedPageBreak/>
        <w:t>第五章 气体钢瓶的管路连接</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第十五条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供气管路应选用合适的管材，并委托专业人员进行安装。易燃、易爆、有毒的危险气体连接管路必须使用金属管，其中乙炔、氨气、氢气的连接管路不得使用铜管。</w:t>
      </w:r>
      <w:r w:rsidRPr="00C82860">
        <w:rPr>
          <w:rFonts w:ascii="仿宋_GB2312" w:eastAsia="仿宋_GB2312" w:hAnsi="Calibri" w:cs="Calibri" w:hint="eastAsia"/>
          <w:sz w:val="32"/>
          <w:szCs w:val="32"/>
        </w:rPr>
        <w:t> </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第十六条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气体管线应整齐有序，做好标识，不得直接布置在地面。存在多条管路或外接气源的实验室，应绘制并张贴气体管路布置图。</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第十七条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气体钢瓶上选用的减压器要分类专用，安装后及时检漏。使用中要经常注意有无漏气、压力表读数等，防止气体外泄和设备过压。</w:t>
      </w:r>
    </w:p>
    <w:p w:rsidR="00C82860" w:rsidRPr="00674165" w:rsidRDefault="00C82860" w:rsidP="00C82860">
      <w:pPr>
        <w:spacing w:beforeLines="50" w:before="156" w:afterLines="50" w:after="156" w:line="360" w:lineRule="auto"/>
        <w:ind w:firstLineChars="200" w:firstLine="640"/>
        <w:jc w:val="center"/>
        <w:rPr>
          <w:rFonts w:ascii="黑体" w:eastAsia="黑体" w:hAnsi="黑体" w:cs="Calibri"/>
          <w:sz w:val="32"/>
          <w:szCs w:val="32"/>
        </w:rPr>
      </w:pPr>
      <w:r w:rsidRPr="00674165">
        <w:rPr>
          <w:rFonts w:ascii="黑体" w:eastAsia="黑体" w:hAnsi="黑体" w:cs="Calibri" w:hint="eastAsia"/>
          <w:sz w:val="32"/>
          <w:szCs w:val="32"/>
        </w:rPr>
        <w:t>第六章 气体钢瓶的使用</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第十八条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气体钢瓶应专瓶专用，不得任意改动，严禁串用、代用、混用。空瓶应与实瓶分开放置，且有明显标志并妥善固定。</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第十九条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严禁使用没有相关合格信息的气体钢瓶,气体钢瓶若有缺陷、安全附件不全，不能保证安全使用时，须立即停止使用。</w:t>
      </w:r>
      <w:r w:rsidRPr="00C82860">
        <w:rPr>
          <w:rFonts w:ascii="仿宋_GB2312" w:eastAsia="仿宋_GB2312" w:hAnsi="Calibri" w:cs="Calibri" w:hint="eastAsia"/>
          <w:sz w:val="32"/>
          <w:szCs w:val="32"/>
        </w:rPr>
        <w:t> </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第二十条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气体钢瓶使用前应进行安全状况检查，对盛装气体进行确认，严格按照使用说明书和操作规程操作，不符合安全</w:t>
      </w:r>
      <w:r w:rsidRPr="00C82860">
        <w:rPr>
          <w:rFonts w:ascii="仿宋_GB2312" w:eastAsia="仿宋_GB2312" w:hAnsi="Calibri" w:cs="Calibri" w:hint="eastAsia"/>
          <w:sz w:val="32"/>
          <w:szCs w:val="32"/>
        </w:rPr>
        <w:lastRenderedPageBreak/>
        <w:t>技术要求的气体钢瓶严禁使用。</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第二十一条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开启气体钢瓶时，先旋动总阀，后开减压器；使用完毕，先关闭总阀，放尽余气，再关减压器；切不可只关减压器不关总阀。开关减压器、总阀和止流阀时，动作必须缓慢，防止产生静电。使用气体钢瓶时，操作人员应站在与气瓶接口处垂直的位置上。操作时严禁敲打撞击，并经常检查有无漏气，应注意压力表读数。</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第二十二条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操作易燃易爆气体钢瓶时，应配备专用工具，并严禁与油类接触。操作人员不能穿戴沾有各种油脂或易感应产生静电的服装、手套，以免引起燃烧或爆炸。</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第二十三条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气体钢瓶投入使用后，不得对瓶体进行挖补焊接修理，严禁擅自更改气瓶的钢印和颜色标记，严禁敲击、碰撞，应经常检查有无漏气。</w:t>
      </w:r>
    </w:p>
    <w:p w:rsidR="00C82860" w:rsidRPr="00C82860" w:rsidRDefault="00C82860" w:rsidP="00C82860">
      <w:pPr>
        <w:spacing w:beforeLines="50" w:before="156" w:afterLines="50" w:after="156" w:line="360" w:lineRule="auto"/>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 </w:t>
      </w:r>
      <w:r w:rsidRPr="00706897">
        <w:rPr>
          <w:rFonts w:ascii="仿宋_GB2312" w:eastAsia="仿宋_GB2312" w:hAnsi="Calibri" w:cs="Calibri" w:hint="eastAsia"/>
          <w:b/>
          <w:sz w:val="32"/>
          <w:szCs w:val="32"/>
        </w:rPr>
        <w:t>第二十四条</w:t>
      </w:r>
      <w:r w:rsidR="00ED66A1">
        <w:rPr>
          <w:rFonts w:ascii="仿宋_GB2312" w:eastAsia="仿宋_GB2312" w:hAnsi="Calibri" w:cs="Calibri"/>
          <w:b/>
          <w:sz w:val="32"/>
          <w:szCs w:val="32"/>
        </w:rPr>
        <w:t xml:space="preserve"> </w:t>
      </w:r>
      <w:r w:rsidRPr="00C82860">
        <w:rPr>
          <w:rFonts w:ascii="仿宋_GB2312" w:eastAsia="仿宋_GB2312" w:hAnsi="Calibri" w:cs="Calibri" w:hint="eastAsia"/>
          <w:sz w:val="32"/>
          <w:szCs w:val="32"/>
        </w:rPr>
        <w:t>瓶内气体不得用尽，必须保留一定剩余压力。永久气体钢瓶的剩余压力应不小于0.05Mpa（0.5kg/cm2表压）；易燃性气体应剩余0.2～0.3Mpa（约2kg/cm2～3kg/cm2表压）；液化气体钢瓶应留有不小于0.5%～1.0%规定充装量的剩余气体；氢气应保留2Mpa。不得自行处理气瓶内的残液。</w:t>
      </w:r>
      <w:r w:rsidRPr="00C82860">
        <w:rPr>
          <w:rFonts w:ascii="仿宋_GB2312" w:eastAsia="仿宋_GB2312" w:hAnsi="Calibri" w:cs="Calibri" w:hint="eastAsia"/>
          <w:sz w:val="32"/>
          <w:szCs w:val="32"/>
        </w:rPr>
        <w:t> </w:t>
      </w:r>
    </w:p>
    <w:p w:rsidR="00C82860" w:rsidRPr="00674165" w:rsidRDefault="00C82860" w:rsidP="00C82860">
      <w:pPr>
        <w:pStyle w:val="a8"/>
        <w:widowControl/>
        <w:spacing w:beforeLines="50" w:before="156" w:beforeAutospacing="0" w:afterLines="50" w:after="156" w:afterAutospacing="0" w:line="360" w:lineRule="auto"/>
        <w:jc w:val="center"/>
        <w:rPr>
          <w:rFonts w:ascii="黑体" w:eastAsia="黑体" w:hAnsi="黑体" w:cs="Calibri"/>
          <w:kern w:val="2"/>
          <w:sz w:val="32"/>
          <w:szCs w:val="32"/>
        </w:rPr>
      </w:pPr>
      <w:r w:rsidRPr="00674165">
        <w:rPr>
          <w:rFonts w:ascii="黑体" w:eastAsia="黑体" w:hAnsi="黑体" w:cs="Calibri" w:hint="eastAsia"/>
          <w:kern w:val="2"/>
          <w:sz w:val="32"/>
          <w:szCs w:val="32"/>
        </w:rPr>
        <w:t>第七章</w:t>
      </w:r>
      <w:r w:rsidRPr="00674165">
        <w:rPr>
          <w:rFonts w:ascii="Calibri" w:eastAsia="黑体" w:hAnsi="Calibri" w:cs="Calibri"/>
          <w:kern w:val="2"/>
          <w:sz w:val="32"/>
          <w:szCs w:val="32"/>
        </w:rPr>
        <w:t>  </w:t>
      </w:r>
      <w:r w:rsidRPr="00674165">
        <w:rPr>
          <w:rFonts w:ascii="黑体" w:eastAsia="黑体" w:hAnsi="黑体" w:cs="Calibri" w:hint="eastAsia"/>
          <w:kern w:val="2"/>
          <w:sz w:val="32"/>
          <w:szCs w:val="32"/>
        </w:rPr>
        <w:t>气体钢瓶的管理</w:t>
      </w:r>
    </w:p>
    <w:p w:rsidR="00C82860" w:rsidRPr="00C82860" w:rsidRDefault="00C82860" w:rsidP="00C82860">
      <w:pPr>
        <w:pStyle w:val="a8"/>
        <w:widowControl/>
        <w:spacing w:beforeLines="50" w:before="156" w:beforeAutospacing="0" w:afterLines="50" w:after="156" w:afterAutospacing="0" w:line="360" w:lineRule="auto"/>
        <w:ind w:firstLineChars="200" w:firstLine="643"/>
        <w:rPr>
          <w:rFonts w:ascii="仿宋_GB2312" w:eastAsia="仿宋_GB2312" w:hAnsi="Calibri" w:cs="Calibri"/>
          <w:kern w:val="2"/>
          <w:sz w:val="32"/>
          <w:szCs w:val="32"/>
        </w:rPr>
      </w:pPr>
      <w:r w:rsidRPr="00706897">
        <w:rPr>
          <w:rFonts w:ascii="仿宋_GB2312" w:eastAsia="仿宋_GB2312" w:hAnsi="Calibri" w:cs="Calibri" w:hint="eastAsia"/>
          <w:b/>
          <w:kern w:val="2"/>
          <w:sz w:val="32"/>
          <w:szCs w:val="32"/>
        </w:rPr>
        <w:lastRenderedPageBreak/>
        <w:t>第二十五条</w:t>
      </w:r>
      <w:r w:rsidR="00ED66A1">
        <w:rPr>
          <w:rFonts w:ascii="仿宋_GB2312" w:eastAsia="仿宋_GB2312" w:hAnsi="Calibri" w:cs="Calibri"/>
          <w:b/>
          <w:kern w:val="2"/>
          <w:sz w:val="32"/>
          <w:szCs w:val="32"/>
        </w:rPr>
        <w:t xml:space="preserve"> </w:t>
      </w:r>
      <w:r w:rsidR="00CB5B13">
        <w:rPr>
          <w:rFonts w:ascii="仿宋_GB2312" w:eastAsia="仿宋_GB2312" w:hAnsi="Calibri" w:cs="Calibri" w:hint="eastAsia"/>
          <w:kern w:val="2"/>
          <w:sz w:val="32"/>
          <w:szCs w:val="32"/>
        </w:rPr>
        <w:t>各院部</w:t>
      </w:r>
      <w:r w:rsidRPr="00C82860">
        <w:rPr>
          <w:rFonts w:ascii="仿宋_GB2312" w:eastAsia="仿宋_GB2312" w:hAnsi="Calibri" w:cs="Calibri" w:hint="eastAsia"/>
          <w:kern w:val="2"/>
          <w:sz w:val="32"/>
          <w:szCs w:val="32"/>
        </w:rPr>
        <w:t>按气体的性质制定相应的管理制度和操作规程，并在实验室张贴气体钢瓶使用制度。钢瓶使用管理按“谁使用，谁负责；谁管理，谁负责”的原则执行，各院</w:t>
      </w:r>
      <w:r w:rsidR="00CB5B13">
        <w:rPr>
          <w:rFonts w:ascii="仿宋_GB2312" w:eastAsia="仿宋_GB2312" w:hAnsi="Calibri" w:cs="Calibri" w:hint="eastAsia"/>
          <w:kern w:val="2"/>
          <w:sz w:val="32"/>
          <w:szCs w:val="32"/>
        </w:rPr>
        <w:t>部和个人对所使</w:t>
      </w:r>
      <w:r w:rsidRPr="00C82860">
        <w:rPr>
          <w:rFonts w:ascii="仿宋_GB2312" w:eastAsia="仿宋_GB2312" w:hAnsi="Calibri" w:cs="Calibri" w:hint="eastAsia"/>
          <w:kern w:val="2"/>
          <w:sz w:val="32"/>
          <w:szCs w:val="32"/>
        </w:rPr>
        <w:t>用钢瓶负有维护和保养的责任，操作要认真仔细，按操作规程执行，远离明火。如因使用不当发生事故，或因保管不善损坏、丢失造成不良后果的，要追究</w:t>
      </w:r>
      <w:r w:rsidR="00CB5B13">
        <w:rPr>
          <w:rFonts w:ascii="仿宋_GB2312" w:eastAsia="仿宋_GB2312" w:hAnsi="Calibri" w:cs="Calibri" w:hint="eastAsia"/>
          <w:kern w:val="2"/>
          <w:sz w:val="32"/>
          <w:szCs w:val="32"/>
        </w:rPr>
        <w:t>使</w:t>
      </w:r>
      <w:r w:rsidRPr="00C82860">
        <w:rPr>
          <w:rFonts w:ascii="仿宋_GB2312" w:eastAsia="仿宋_GB2312" w:hAnsi="Calibri" w:cs="Calibri" w:hint="eastAsia"/>
          <w:kern w:val="2"/>
          <w:sz w:val="32"/>
          <w:szCs w:val="32"/>
        </w:rPr>
        <w:t>用人的责任。</w:t>
      </w:r>
    </w:p>
    <w:p w:rsidR="00C82860" w:rsidRPr="00C82860" w:rsidRDefault="00C82860" w:rsidP="00C82860">
      <w:pPr>
        <w:pStyle w:val="a8"/>
        <w:widowControl/>
        <w:spacing w:beforeLines="50" w:before="156" w:beforeAutospacing="0" w:afterLines="50" w:after="156" w:afterAutospacing="0" w:line="360" w:lineRule="auto"/>
        <w:ind w:firstLineChars="200" w:firstLine="643"/>
        <w:rPr>
          <w:rFonts w:ascii="仿宋_GB2312" w:eastAsia="仿宋_GB2312" w:hAnsi="Calibri" w:cs="Calibri"/>
          <w:kern w:val="2"/>
          <w:sz w:val="32"/>
          <w:szCs w:val="32"/>
        </w:rPr>
      </w:pPr>
      <w:r w:rsidRPr="00706897">
        <w:rPr>
          <w:rFonts w:ascii="仿宋_GB2312" w:eastAsia="仿宋_GB2312" w:hAnsi="Calibri" w:cs="Calibri" w:hint="eastAsia"/>
          <w:b/>
          <w:kern w:val="2"/>
          <w:sz w:val="32"/>
          <w:szCs w:val="32"/>
        </w:rPr>
        <w:t>第二十六条</w:t>
      </w:r>
      <w:r w:rsidR="00ED66A1">
        <w:rPr>
          <w:rFonts w:ascii="仿宋_GB2312" w:eastAsia="仿宋_GB2312" w:hAnsi="Calibri" w:cs="Calibri"/>
          <w:b/>
          <w:kern w:val="2"/>
          <w:sz w:val="32"/>
          <w:szCs w:val="32"/>
        </w:rPr>
        <w:t xml:space="preserve"> </w:t>
      </w:r>
      <w:r w:rsidRPr="00C82860">
        <w:rPr>
          <w:rFonts w:ascii="仿宋_GB2312" w:eastAsia="仿宋_GB2312" w:hAnsi="Calibri" w:cs="Calibri" w:hint="eastAsia"/>
          <w:kern w:val="2"/>
          <w:sz w:val="32"/>
          <w:szCs w:val="32"/>
        </w:rPr>
        <w:t>为防止气体钢瓶安全事故发生，各院</w:t>
      </w:r>
      <w:r w:rsidR="00CB5B13">
        <w:rPr>
          <w:rFonts w:ascii="仿宋_GB2312" w:eastAsia="仿宋_GB2312" w:hAnsi="Calibri" w:cs="Calibri" w:hint="eastAsia"/>
          <w:kern w:val="2"/>
          <w:sz w:val="32"/>
          <w:szCs w:val="32"/>
        </w:rPr>
        <w:t>部应对实验室使用气体钢瓶实行登记管理，登记内容包括使</w:t>
      </w:r>
      <w:r w:rsidRPr="00C82860">
        <w:rPr>
          <w:rFonts w:ascii="仿宋_GB2312" w:eastAsia="仿宋_GB2312" w:hAnsi="Calibri" w:cs="Calibri" w:hint="eastAsia"/>
          <w:kern w:val="2"/>
          <w:sz w:val="32"/>
          <w:szCs w:val="32"/>
        </w:rPr>
        <w:t>用日期、气体名称、钢瓶编号、实验室名称、</w:t>
      </w:r>
      <w:r w:rsidR="006A1B62">
        <w:rPr>
          <w:rFonts w:ascii="仿宋_GB2312" w:eastAsia="仿宋_GB2312" w:hAnsi="Calibri" w:cs="Calibri" w:hint="eastAsia"/>
          <w:kern w:val="2"/>
          <w:sz w:val="32"/>
          <w:szCs w:val="32"/>
        </w:rPr>
        <w:t>使</w:t>
      </w:r>
      <w:r w:rsidRPr="00C82860">
        <w:rPr>
          <w:rFonts w:ascii="仿宋_GB2312" w:eastAsia="仿宋_GB2312" w:hAnsi="Calibri" w:cs="Calibri" w:hint="eastAsia"/>
          <w:kern w:val="2"/>
          <w:sz w:val="32"/>
          <w:szCs w:val="32"/>
        </w:rPr>
        <w:t>用人等。</w:t>
      </w:r>
    </w:p>
    <w:p w:rsidR="00C82860" w:rsidRPr="00C82860" w:rsidRDefault="00C82860" w:rsidP="00C82860">
      <w:pPr>
        <w:pStyle w:val="a8"/>
        <w:widowControl/>
        <w:spacing w:beforeLines="50" w:before="156" w:beforeAutospacing="0" w:afterLines="50" w:after="156" w:afterAutospacing="0" w:line="360" w:lineRule="auto"/>
        <w:ind w:firstLineChars="200" w:firstLine="643"/>
        <w:rPr>
          <w:rFonts w:ascii="仿宋_GB2312" w:eastAsia="仿宋_GB2312" w:hAnsi="Calibri" w:cs="Calibri"/>
          <w:kern w:val="2"/>
          <w:sz w:val="32"/>
          <w:szCs w:val="32"/>
        </w:rPr>
      </w:pPr>
      <w:r w:rsidRPr="00706897">
        <w:rPr>
          <w:rFonts w:ascii="仿宋_GB2312" w:eastAsia="仿宋_GB2312" w:hAnsi="Calibri" w:cs="Calibri" w:hint="eastAsia"/>
          <w:b/>
          <w:kern w:val="2"/>
          <w:sz w:val="32"/>
          <w:szCs w:val="32"/>
        </w:rPr>
        <w:t>第二十七条</w:t>
      </w:r>
      <w:r w:rsidR="00ED66A1">
        <w:rPr>
          <w:rFonts w:ascii="仿宋_GB2312" w:eastAsia="仿宋_GB2312" w:hAnsi="Calibri" w:cs="Calibri"/>
          <w:b/>
          <w:kern w:val="2"/>
          <w:sz w:val="32"/>
          <w:szCs w:val="32"/>
        </w:rPr>
        <w:t xml:space="preserve"> </w:t>
      </w:r>
      <w:r w:rsidRPr="00C82860">
        <w:rPr>
          <w:rFonts w:ascii="仿宋_GB2312" w:eastAsia="仿宋_GB2312" w:hAnsi="Calibri" w:cs="Calibri" w:hint="eastAsia"/>
          <w:kern w:val="2"/>
          <w:sz w:val="32"/>
          <w:szCs w:val="32"/>
        </w:rPr>
        <w:t>建立气瓶定期检查制度。如检查气瓶的外表涂色和警示标签是否清晰可见；气瓶的外表是否存在腐蚀、变形、磨损、裂纹等严重缺陷；气瓶的附件（防震圈、安全帽、瓶阀）是否齐全、完好；气瓶的使用状态（满瓶、使用中、空瓶）。检查气瓶是否超过定期检验周期。气瓶在使用过程中，发现有严重腐蚀、损伤或对其安全可靠性有怀疑时，应提前进行检验。超过检验期限的气瓶，应立即停止使用，并及时进行检验。</w:t>
      </w:r>
    </w:p>
    <w:p w:rsidR="00C82860" w:rsidRPr="00C82860" w:rsidRDefault="00C82860" w:rsidP="00C82860">
      <w:pPr>
        <w:pStyle w:val="a8"/>
        <w:widowControl/>
        <w:spacing w:beforeLines="50" w:before="156" w:beforeAutospacing="0" w:afterLines="50" w:after="156" w:afterAutospacing="0" w:line="360" w:lineRule="auto"/>
        <w:ind w:firstLineChars="200" w:firstLine="643"/>
        <w:rPr>
          <w:rFonts w:ascii="仿宋_GB2312" w:eastAsia="仿宋_GB2312" w:hAnsi="Calibri" w:cs="Calibri"/>
          <w:kern w:val="2"/>
          <w:sz w:val="32"/>
          <w:szCs w:val="32"/>
        </w:rPr>
      </w:pPr>
      <w:r w:rsidRPr="00706897">
        <w:rPr>
          <w:rFonts w:ascii="仿宋_GB2312" w:eastAsia="仿宋_GB2312" w:hAnsi="Calibri" w:cs="Calibri" w:hint="eastAsia"/>
          <w:b/>
          <w:kern w:val="2"/>
          <w:sz w:val="32"/>
          <w:szCs w:val="32"/>
        </w:rPr>
        <w:t>第二十八条</w:t>
      </w:r>
      <w:r w:rsidR="00ED66A1">
        <w:rPr>
          <w:rFonts w:ascii="仿宋_GB2312" w:eastAsia="仿宋_GB2312" w:hAnsi="Calibri" w:cs="Calibri"/>
          <w:b/>
          <w:kern w:val="2"/>
          <w:sz w:val="32"/>
          <w:szCs w:val="32"/>
        </w:rPr>
        <w:t xml:space="preserve"> </w:t>
      </w:r>
      <w:r w:rsidRPr="00C82860">
        <w:rPr>
          <w:rFonts w:ascii="仿宋_GB2312" w:eastAsia="仿宋_GB2312" w:hAnsi="Calibri" w:cs="Calibri" w:hint="eastAsia"/>
          <w:kern w:val="2"/>
          <w:sz w:val="32"/>
          <w:szCs w:val="32"/>
        </w:rPr>
        <w:t>各院</w:t>
      </w:r>
      <w:r w:rsidR="006A1B62">
        <w:rPr>
          <w:rFonts w:ascii="仿宋_GB2312" w:eastAsia="仿宋_GB2312" w:hAnsi="Calibri" w:cs="Calibri" w:hint="eastAsia"/>
          <w:kern w:val="2"/>
          <w:sz w:val="32"/>
          <w:szCs w:val="32"/>
        </w:rPr>
        <w:t>部</w:t>
      </w:r>
      <w:r w:rsidRPr="00C82860">
        <w:rPr>
          <w:rFonts w:ascii="仿宋_GB2312" w:eastAsia="仿宋_GB2312" w:hAnsi="Calibri" w:cs="Calibri" w:hint="eastAsia"/>
          <w:kern w:val="2"/>
          <w:sz w:val="32"/>
          <w:szCs w:val="32"/>
        </w:rPr>
        <w:t>应建立安全教育制度。组织教师、实验室技术人员、学生参观和学习，在实验室张贴各种安全标志和</w:t>
      </w:r>
      <w:r w:rsidRPr="00C82860">
        <w:rPr>
          <w:rFonts w:ascii="仿宋_GB2312" w:eastAsia="仿宋_GB2312" w:hAnsi="Calibri" w:cs="Calibri" w:hint="eastAsia"/>
          <w:kern w:val="2"/>
          <w:sz w:val="32"/>
          <w:szCs w:val="32"/>
        </w:rPr>
        <w:lastRenderedPageBreak/>
        <w:t>警示语，编写与发放安全学习材料，举办讲座，定期或不定期进行安全检查，营造实验室安全文化氛围。</w:t>
      </w:r>
    </w:p>
    <w:p w:rsidR="002614B9" w:rsidRPr="005F698B" w:rsidRDefault="00C82860" w:rsidP="002614B9">
      <w:pPr>
        <w:autoSpaceDE w:val="0"/>
        <w:autoSpaceDN w:val="0"/>
        <w:adjustRightInd w:val="0"/>
        <w:spacing w:beforeLines="100" w:before="312" w:line="560" w:lineRule="exact"/>
        <w:ind w:firstLineChars="200" w:firstLine="643"/>
        <w:rPr>
          <w:rFonts w:ascii="仿宋_GB2312" w:eastAsia="仿宋_GB2312" w:hAnsi="Calibri" w:cs="Calibri"/>
          <w:sz w:val="32"/>
          <w:szCs w:val="32"/>
        </w:rPr>
      </w:pPr>
      <w:r w:rsidRPr="00706897">
        <w:rPr>
          <w:rFonts w:ascii="仿宋_GB2312" w:eastAsia="仿宋_GB2312" w:hAnsi="Calibri" w:cs="Calibri" w:hint="eastAsia"/>
          <w:b/>
          <w:sz w:val="32"/>
          <w:szCs w:val="32"/>
        </w:rPr>
        <w:t>第二十九条</w:t>
      </w:r>
      <w:r w:rsidR="00ED66A1">
        <w:rPr>
          <w:rFonts w:ascii="仿宋_GB2312" w:eastAsia="仿宋_GB2312" w:hAnsi="Calibri" w:cs="Calibri"/>
          <w:sz w:val="32"/>
          <w:szCs w:val="32"/>
        </w:rPr>
        <w:t xml:space="preserve"> </w:t>
      </w:r>
      <w:r w:rsidR="002614B9" w:rsidRPr="005F698B">
        <w:rPr>
          <w:rFonts w:ascii="仿宋_GB2312" w:eastAsia="仿宋_GB2312" w:hAnsi="Calibri" w:cs="Calibri" w:hint="eastAsia"/>
          <w:sz w:val="32"/>
          <w:szCs w:val="32"/>
        </w:rPr>
        <w:t>本管理办法自公布之日起执行，原《上海电力大学实验室</w:t>
      </w:r>
      <w:r w:rsidR="00CC0C63">
        <w:rPr>
          <w:rFonts w:ascii="仿宋_GB2312" w:eastAsia="仿宋_GB2312" w:hAnsi="Calibri" w:cs="Calibri" w:hint="eastAsia"/>
          <w:sz w:val="32"/>
          <w:szCs w:val="32"/>
        </w:rPr>
        <w:t>气体钢瓶安全管理办法</w:t>
      </w:r>
      <w:r w:rsidR="002614B9" w:rsidRPr="005F698B">
        <w:rPr>
          <w:rFonts w:ascii="仿宋_GB2312" w:eastAsia="仿宋_GB2312" w:hAnsi="Calibri" w:cs="Calibri" w:hint="eastAsia"/>
          <w:sz w:val="32"/>
          <w:szCs w:val="32"/>
        </w:rPr>
        <w:t>》</w:t>
      </w:r>
      <w:r w:rsidR="00706897">
        <w:rPr>
          <w:rFonts w:ascii="仿宋_GB2312" w:eastAsia="仿宋_GB2312" w:hAnsi="Calibri" w:cs="Calibri" w:hint="eastAsia"/>
          <w:sz w:val="32"/>
          <w:szCs w:val="32"/>
        </w:rPr>
        <w:t>（试行）</w:t>
      </w:r>
      <w:r w:rsidR="002614B9">
        <w:rPr>
          <w:rFonts w:ascii="仿宋_GB2312" w:eastAsia="仿宋_GB2312" w:hAnsi="Calibri" w:cs="Calibri" w:hint="eastAsia"/>
          <w:sz w:val="32"/>
          <w:szCs w:val="32"/>
        </w:rPr>
        <w:t>（上电资</w:t>
      </w:r>
      <w:r w:rsidR="002614B9" w:rsidRPr="005F698B">
        <w:rPr>
          <w:rFonts w:ascii="仿宋_GB2312" w:eastAsia="仿宋_GB2312" w:hAnsi="Calibri" w:cs="Calibri" w:hint="eastAsia"/>
          <w:sz w:val="32"/>
          <w:szCs w:val="32"/>
        </w:rPr>
        <w:t>[2</w:t>
      </w:r>
      <w:r w:rsidR="002614B9" w:rsidRPr="005F698B">
        <w:rPr>
          <w:rFonts w:ascii="仿宋_GB2312" w:eastAsia="仿宋_GB2312" w:hAnsi="Calibri" w:cs="Calibri"/>
          <w:sz w:val="32"/>
          <w:szCs w:val="32"/>
        </w:rPr>
        <w:t>02</w:t>
      </w:r>
      <w:r w:rsidR="002614B9">
        <w:rPr>
          <w:rFonts w:ascii="仿宋_GB2312" w:eastAsia="仿宋_GB2312" w:hAnsi="Calibri" w:cs="Calibri"/>
          <w:sz w:val="32"/>
          <w:szCs w:val="32"/>
        </w:rPr>
        <w:t>3</w:t>
      </w:r>
      <w:r w:rsidR="002614B9" w:rsidRPr="002614B9">
        <w:rPr>
          <w:rFonts w:ascii="仿宋_GB2312" w:eastAsia="仿宋_GB2312" w:hAnsi="Calibri" w:cs="Calibri" w:hint="eastAsia"/>
          <w:sz w:val="32"/>
          <w:szCs w:val="32"/>
        </w:rPr>
        <w:t>]</w:t>
      </w:r>
      <w:r w:rsidR="002614B9">
        <w:rPr>
          <w:rFonts w:ascii="仿宋_GB2312" w:eastAsia="仿宋_GB2312" w:hAnsi="Calibri" w:cs="Calibri"/>
          <w:sz w:val="32"/>
          <w:szCs w:val="32"/>
        </w:rPr>
        <w:t>12号）</w:t>
      </w:r>
      <w:r w:rsidR="002614B9" w:rsidRPr="005F698B">
        <w:rPr>
          <w:rFonts w:ascii="仿宋_GB2312" w:eastAsia="仿宋_GB2312" w:hAnsi="Calibri" w:cs="Calibri" w:hint="eastAsia"/>
          <w:sz w:val="32"/>
          <w:szCs w:val="32"/>
        </w:rPr>
        <w:t>同日失效。本管理办法解释权归实验室与资产管理处。</w:t>
      </w:r>
    </w:p>
    <w:p w:rsidR="005A1088" w:rsidRDefault="005A1088" w:rsidP="0078649A">
      <w:pPr>
        <w:adjustRightInd w:val="0"/>
        <w:snapToGrid w:val="0"/>
        <w:spacing w:line="360" w:lineRule="auto"/>
        <w:rPr>
          <w:color w:val="000000" w:themeColor="text1"/>
          <w:sz w:val="28"/>
          <w:szCs w:val="28"/>
        </w:rPr>
      </w:pPr>
      <w:bookmarkStart w:id="0" w:name="_GoBack"/>
      <w:bookmarkEnd w:id="0"/>
    </w:p>
    <w:sectPr w:rsidR="005A1088" w:rsidSect="003F3F0F">
      <w:footerReference w:type="default" r:id="rId7"/>
      <w:pgSz w:w="11906" w:h="16838"/>
      <w:pgMar w:top="2098" w:right="1474" w:bottom="1985"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1F1" w:rsidRDefault="00C531F1"/>
  </w:endnote>
  <w:endnote w:type="continuationSeparator" w:id="0">
    <w:p w:rsidR="00C531F1" w:rsidRDefault="00C53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942775"/>
      <w:docPartObj>
        <w:docPartGallery w:val="AutoText"/>
      </w:docPartObj>
    </w:sdtPr>
    <w:sdtEndPr>
      <w:rPr>
        <w:rFonts w:ascii="宋体" w:eastAsia="宋体" w:hAnsi="宋体"/>
        <w:sz w:val="28"/>
        <w:szCs w:val="28"/>
      </w:rPr>
    </w:sdtEndPr>
    <w:sdtContent>
      <w:p w:rsidR="000D12FF" w:rsidRDefault="007E2C5D">
        <w:pPr>
          <w:pStyle w:val="a4"/>
          <w:rPr>
            <w:rFonts w:ascii="宋体" w:eastAsia="宋体" w:hAnsi="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116873" w:rsidRPr="00116873">
          <w:rPr>
            <w:rFonts w:ascii="宋体" w:eastAsia="宋体" w:hAnsi="宋体" w:cs="宋体"/>
            <w:noProof/>
            <w:sz w:val="28"/>
            <w:szCs w:val="28"/>
            <w:lang w:val="zh-CN"/>
          </w:rPr>
          <w:t>-</w:t>
        </w:r>
        <w:r w:rsidR="00116873">
          <w:rPr>
            <w:rFonts w:ascii="宋体" w:eastAsia="宋体" w:hAnsi="宋体" w:cs="宋体"/>
            <w:noProof/>
            <w:sz w:val="28"/>
            <w:szCs w:val="28"/>
          </w:rPr>
          <w:t xml:space="preserve"> 8 -</w:t>
        </w:r>
        <w:r>
          <w:rPr>
            <w:rFonts w:ascii="宋体" w:eastAsia="宋体" w:hAnsi="宋体" w:cs="宋体" w:hint="eastAsia"/>
            <w:sz w:val="28"/>
            <w:szCs w:val="28"/>
          </w:rPr>
          <w:fldChar w:fldCharType="end"/>
        </w:r>
      </w:p>
    </w:sdtContent>
  </w:sdt>
  <w:p w:rsidR="000D12FF" w:rsidRDefault="000D12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1F1" w:rsidRDefault="00C531F1"/>
  </w:footnote>
  <w:footnote w:type="continuationSeparator" w:id="0">
    <w:p w:rsidR="00C531F1" w:rsidRDefault="00C531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7A5D25"/>
    <w:multiLevelType w:val="singleLevel"/>
    <w:tmpl w:val="BC7A5D25"/>
    <w:lvl w:ilvl="0">
      <w:start w:val="1"/>
      <w:numFmt w:val="decimal"/>
      <w:suff w:val="nothing"/>
      <w:lvlText w:val="%1、"/>
      <w:lvlJc w:val="left"/>
    </w:lvl>
  </w:abstractNum>
  <w:abstractNum w:abstractNumId="1" w15:restartNumberingAfterBreak="0">
    <w:nsid w:val="BE7E5E4E"/>
    <w:multiLevelType w:val="singleLevel"/>
    <w:tmpl w:val="BE7E5E4E"/>
    <w:lvl w:ilvl="0">
      <w:start w:val="4"/>
      <w:numFmt w:val="chineseCounting"/>
      <w:suff w:val="space"/>
      <w:lvlText w:val="第%1章"/>
      <w:lvlJc w:val="left"/>
      <w:rPr>
        <w:rFonts w:hint="eastAsia"/>
      </w:rPr>
    </w:lvl>
  </w:abstractNum>
  <w:abstractNum w:abstractNumId="2" w15:restartNumberingAfterBreak="0">
    <w:nsid w:val="5E628B62"/>
    <w:multiLevelType w:val="singleLevel"/>
    <w:tmpl w:val="5E628B62"/>
    <w:lvl w:ilvl="0">
      <w:start w:val="3"/>
      <w:numFmt w:val="chineseCounting"/>
      <w:suff w:val="space"/>
      <w:lvlText w:val="第%1章"/>
      <w:lvlJc w:val="left"/>
      <w:rPr>
        <w:rFonts w:hint="eastAsia"/>
      </w:rPr>
    </w:lvl>
  </w:abstractNum>
  <w:abstractNum w:abstractNumId="3" w15:restartNumberingAfterBreak="0">
    <w:nsid w:val="7DF318CB"/>
    <w:multiLevelType w:val="multilevel"/>
    <w:tmpl w:val="7DF318CB"/>
    <w:lvl w:ilvl="0">
      <w:start w:val="1"/>
      <w:numFmt w:val="decimalEnclosedCircle"/>
      <w:lvlText w:val="%1"/>
      <w:lvlJc w:val="left"/>
      <w:pPr>
        <w:ind w:left="1001" w:hanging="360"/>
      </w:pPr>
      <w:rPr>
        <w:rFonts w:cs="宋体" w:hint="default"/>
        <w:b/>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F7"/>
    <w:rsid w:val="00023B47"/>
    <w:rsid w:val="000B51FE"/>
    <w:rsid w:val="000D12FF"/>
    <w:rsid w:val="00102BF0"/>
    <w:rsid w:val="00116873"/>
    <w:rsid w:val="001455F5"/>
    <w:rsid w:val="00200DBB"/>
    <w:rsid w:val="00206AE0"/>
    <w:rsid w:val="00231D85"/>
    <w:rsid w:val="002614B9"/>
    <w:rsid w:val="002676AC"/>
    <w:rsid w:val="002801BA"/>
    <w:rsid w:val="002D0C44"/>
    <w:rsid w:val="00356A8E"/>
    <w:rsid w:val="003705BE"/>
    <w:rsid w:val="003E76FA"/>
    <w:rsid w:val="003F3F0F"/>
    <w:rsid w:val="0042203F"/>
    <w:rsid w:val="00456FBF"/>
    <w:rsid w:val="00480A95"/>
    <w:rsid w:val="004936D9"/>
    <w:rsid w:val="004A1AB3"/>
    <w:rsid w:val="004C4160"/>
    <w:rsid w:val="005900EB"/>
    <w:rsid w:val="005A1088"/>
    <w:rsid w:val="005B347D"/>
    <w:rsid w:val="005C12E0"/>
    <w:rsid w:val="005C2C8E"/>
    <w:rsid w:val="005F0764"/>
    <w:rsid w:val="00612521"/>
    <w:rsid w:val="00635176"/>
    <w:rsid w:val="00642CE4"/>
    <w:rsid w:val="00644603"/>
    <w:rsid w:val="00674165"/>
    <w:rsid w:val="006A1B62"/>
    <w:rsid w:val="00706897"/>
    <w:rsid w:val="00761373"/>
    <w:rsid w:val="00772770"/>
    <w:rsid w:val="0078649A"/>
    <w:rsid w:val="00796386"/>
    <w:rsid w:val="007A3DCA"/>
    <w:rsid w:val="007E2C5D"/>
    <w:rsid w:val="008176AE"/>
    <w:rsid w:val="008409F7"/>
    <w:rsid w:val="00854F78"/>
    <w:rsid w:val="00866F26"/>
    <w:rsid w:val="008A4F36"/>
    <w:rsid w:val="008D10B2"/>
    <w:rsid w:val="00995ECA"/>
    <w:rsid w:val="009E6BEF"/>
    <w:rsid w:val="00A27D34"/>
    <w:rsid w:val="00A660B6"/>
    <w:rsid w:val="00AA05B7"/>
    <w:rsid w:val="00AD38E1"/>
    <w:rsid w:val="00AF5DF6"/>
    <w:rsid w:val="00B02B0F"/>
    <w:rsid w:val="00B04563"/>
    <w:rsid w:val="00B3499A"/>
    <w:rsid w:val="00B60808"/>
    <w:rsid w:val="00B85779"/>
    <w:rsid w:val="00B866A1"/>
    <w:rsid w:val="00C23F62"/>
    <w:rsid w:val="00C531F1"/>
    <w:rsid w:val="00C82860"/>
    <w:rsid w:val="00C9555E"/>
    <w:rsid w:val="00CB5B13"/>
    <w:rsid w:val="00CC0C63"/>
    <w:rsid w:val="00D124AD"/>
    <w:rsid w:val="00D44B29"/>
    <w:rsid w:val="00D64401"/>
    <w:rsid w:val="00D66D3A"/>
    <w:rsid w:val="00D95FAB"/>
    <w:rsid w:val="00DD3B83"/>
    <w:rsid w:val="00E325C5"/>
    <w:rsid w:val="00E42355"/>
    <w:rsid w:val="00E55804"/>
    <w:rsid w:val="00E7066D"/>
    <w:rsid w:val="00E83F0C"/>
    <w:rsid w:val="00EB7260"/>
    <w:rsid w:val="00EC5F12"/>
    <w:rsid w:val="00ED66A1"/>
    <w:rsid w:val="00F5664A"/>
    <w:rsid w:val="00F92D36"/>
    <w:rsid w:val="00F94B4B"/>
    <w:rsid w:val="359E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7CA702-DB30-4749-8B66-AAE63EAC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8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left="720"/>
      <w:contextualSpacing/>
    </w:p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qFormat/>
    <w:rsid w:val="00C82860"/>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Lenovo</cp:lastModifiedBy>
  <cp:revision>2</cp:revision>
  <cp:lastPrinted>2026-05-15T07:35:00Z</cp:lastPrinted>
  <dcterms:created xsi:type="dcterms:W3CDTF">2026-06-05T01:16:00Z</dcterms:created>
  <dcterms:modified xsi:type="dcterms:W3CDTF">2026-06-05T01:16:00Z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eyJoZGlkIjoiOWE4NWNjY2ZhNjA1ZGI3YTBhMzljMmI5MTZiN2ZjZjkiLCJ1c2VySWQiOiIzNTk3MjY4NjYifQ==</vt:lpwstr>
  </property>
  <property fmtid="{D5CDD505-2E9C-101B-9397-08002B2CF9AE}" pid="3" name="KSOProductBuildVer">
    <vt:lpwstr>2052-12.1.0.25865</vt:lpwstr>
  </property>
  <property fmtid="{D5CDD505-2E9C-101B-9397-08002B2CF9AE}" pid="4" name="ICV">
    <vt:lpwstr>5D127CC2D5A94E398C18F310DCDA2849_13</vt:lpwstr>
  </property>
</Properties>
</file>